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200" w:after="80"/>
        <w:jc w:val="left"/>
        <w:pBdr>
          <w:bottom w:val="single" w:sz="10" w:space="3" w:color="E8D6C1"/>
        </w:pBdr>
      </w:pPr>
      <w:r>
        <w:t>Публичная оферта</w:t>
      </w:r>
    </w:p>
    <w:p>
      <w:pPr>
        <w:spacing w:after="200"/>
      </w:pPr>
      <w:r>
        <w:rPr>
          <w:rFonts w:ascii="Arimo" w:hAnsi="Arimo"/>
          <w:color w:val="6F7E69"/>
          <w:sz w:val="21"/>
        </w:rPr>
        <w:t>о заключении договора пожертвования</w:t>
      </w:r>
    </w:p>
    <w:tbl>
      <w:tblPr>
        <w:tblW w:type="auto" w:w="0"/>
        <w:jc w:val="left"/>
        <w:tblLayout w:type="autofit"/>
        <w:tblLook w:firstColumn="1" w:firstRow="1" w:lastColumn="0" w:lastRow="0" w:noHBand="0" w:noVBand="1" w:val="04A0"/>
      </w:tblPr>
      <w:tblGrid>
        <w:gridCol w:w="10256"/>
      </w:tblGrid>
      <w:tr>
        <w:tc>
          <w:tcPr>
            <w:tcW w:type="dxa" w:w="10256"/>
            <w:shd w:fill="F8EEE9"/>
            <w:tcBorders>
              <w:top w:val="single" w:sz="4" w:color="C77455"/>
              <w:left w:val="single" w:sz="4" w:color="C77455"/>
              <w:bottom w:val="single" w:sz="4" w:color="C77455"/>
              <w:right w:val="single" w:sz="4" w:color="C77455"/>
            </w:tcBorders>
            <w:tcMar>
              <w:top w:w="80" w:type="dxa"/>
              <w:start w:w="130" w:type="dxa"/>
              <w:bottom w:w="80" w:type="dxa"/>
              <w:end w:w="130" w:type="dxa"/>
            </w:tcMar>
          </w:tcPr>
          <w:p>
            <w:pPr>
              <w:spacing w:after="0"/>
            </w:pPr>
            <w:r>
              <w:rPr>
                <w:rFonts w:ascii="Arimo" w:hAnsi="Arimo"/>
                <w:b/>
                <w:color w:val="C77455"/>
                <w:sz w:val="18"/>
              </w:rPr>
              <w:t>Редакция от 09 августа 2026 г.</w:t>
            </w:r>
          </w:p>
        </w:tc>
      </w:tr>
    </w:tbl>
    <w:p>
      <w:pPr>
        <w:spacing w:after="20"/>
      </w:pPr>
    </w:p>
    <w:tbl>
      <w:tblPr>
        <w:tblW w:type="auto" w:w="0"/>
        <w:jc w:val="left"/>
        <w:tblLook w:firstColumn="1" w:firstRow="1" w:lastColumn="0" w:lastRow="0" w:noHBand="0" w:noVBand="1" w:val="04A0"/>
      </w:tblPr>
      <w:tblGrid>
        <w:gridCol w:w="10256"/>
      </w:tblGrid>
      <w:tr>
        <w:tc>
          <w:tcPr>
            <w:tcW w:type="dxa" w:w="10256"/>
            <w:shd w:fill="EEF1EC"/>
            <w:tcBorders>
              <w:top w:val="nil"/>
              <w:left w:val="single" w:sz="18" w:color="6F7E69"/>
              <w:bottom w:val="nil"/>
              <w:right w:val="nil"/>
            </w:tcBorders>
            <w:tcMar>
              <w:top w:w="100" w:type="dxa"/>
              <w:start w:w="160" w:type="dxa"/>
              <w:bottom w:w="100" w:type="dxa"/>
              <w:end w:w="130" w:type="dxa"/>
            </w:tcMar>
          </w:tcPr>
          <w:p>
            <w:r>
              <w:t>Коротко</w:t>
              <w:br/>
              <w:t>Перечисляя пожертвование Благотворительному фонду «Аннушка», благотворитель принимает условия этой оферты. Для целевого пожертвования дополнительно действуют условия конкретного сбора, размещённые до совершения платежа. Изменение установленного благотворителем назначения допускается только в случаях и порядке, предусмотренных законом.</w:t>
            </w:r>
          </w:p>
        </w:tc>
      </w:tr>
    </w:tbl>
    <w:p>
      <w:pPr>
        <w:spacing w:after="140"/>
      </w:pPr>
      <w:r>
        <w:t>БЛАГОТВОРИТЕЛЬНЫЙ ФОНД «АННУШКА» (ОГРН 1265000052602, ИНН 5005079532, КПП 500501001), именуемый далее «Фонд», в лице директора Гильфанова Айрата Галиахметовича, действующего на основании Устава, публикует настоящее предложение заключить договор пожертвования на изложенных ниже условиях. Документ является публичной офертой в соответствии со статьями 435 и 437 Гражданского кодекса Российской Федерации.</w:t>
      </w:r>
    </w:p>
    <w:p>
      <w:pPr>
        <w:pStyle w:val="Heading1"/>
      </w:pPr>
      <w:r>
        <w:t>1. Общие положения</w:t>
      </w:r>
    </w:p>
    <w:p>
      <w:pPr>
        <w:spacing w:after="80"/>
        <w:ind w:left="255" w:hanging="255"/>
      </w:pPr>
      <w:r>
        <w:t>1.1. Оферта адресована физическим лицам, обладающим необходимой дееспособностью для совершения пожертвования, и юридическим лицам, намеренным добровольно и безвозмездно передать Фонду денежные средства на общеполезные и благотворительные цели.</w:t>
      </w:r>
    </w:p>
    <w:p>
      <w:pPr>
        <w:spacing w:after="80"/>
        <w:ind w:left="255" w:hanging="255"/>
      </w:pPr>
      <w:r>
        <w:t>1.2. Условия настоящей оферты, а для целевого пожертвования также условия соответствующей страницы проекта, программы или конкретного сбора на сайте Фонда, образуют условия договора пожертвования.</w:t>
      </w:r>
    </w:p>
    <w:p>
      <w:pPr>
        <w:spacing w:after="80"/>
        <w:ind w:left="255" w:hanging="255"/>
      </w:pPr>
      <w:r>
        <w:t>1.3. Полным и безоговорочным акцептом оферты является совершение пожертвования одним из способов, официально предложенных Фондом. Совершение платежа в ответ на письменную оферту рассматривается как акцепт в порядке статьи 438 Гражданского кодекса Российской Федерации; в случаях, когда законом требуется письменная форма договора, она соблюдается с учётом статьи 434 Гражданского кодекса Российской Федерации.</w:t>
      </w:r>
    </w:p>
    <w:p>
      <w:pPr>
        <w:spacing w:after="80"/>
        <w:ind w:left="255" w:hanging="255"/>
      </w:pPr>
      <w:r>
        <w:t>1.4. Договор считается заключённым с момента зачисления денежных средств на банковский счёт Фонда, если иное не следует из обязательных правил применяемого платёжного сервиса или законодательства. Совершая пожертвование, благотворитель подтверждает добровольность платежа, безвозмездный характер пожертвования и наличие права распоряжаться перечисляемыми денежными средствами.</w:t>
      </w:r>
    </w:p>
    <w:p>
      <w:pPr>
        <w:pStyle w:val="Heading1"/>
      </w:pPr>
      <w:r>
        <w:t>2. Предмет договора</w:t>
      </w:r>
    </w:p>
    <w:p>
      <w:pPr>
        <w:spacing w:after="80"/>
        <w:ind w:left="255" w:hanging="255"/>
      </w:pPr>
      <w:r>
        <w:t>2.1. Благотворитель безвозмездно передаёт Фонду денежные средства в качестве пожертвования, а Фонд принимает их и обязуется использовать в общеполезных целях в соответствии с установленным назначением, Уставом Фонда, благотворительными программами и законодательством Российской Федерации.</w:t>
      </w:r>
    </w:p>
    <w:p>
      <w:pPr>
        <w:spacing w:after="80"/>
        <w:ind w:left="255" w:hanging="255"/>
      </w:pPr>
      <w:r>
        <w:t>2.2. Пожертвование не является оплатой товара, работы или услуги и не создаёт обязанности Фонда предоставить благотворителю встречное имущественное предоставление.</w:t>
      </w:r>
    </w:p>
    <w:p>
      <w:pPr>
        <w:spacing w:after="80"/>
        <w:ind w:left="255" w:hanging="255"/>
      </w:pPr>
      <w:r>
        <w:t>2.3. Размер пожертвования определяется благотворителем самостоятельно, если техническими условиями выбранного способа оплаты не установлены допустимые пределы суммы.</w:t>
      </w:r>
    </w:p>
    <w:p>
      <w:pPr>
        <w:pStyle w:val="Heading1"/>
      </w:pPr>
      <w:r>
        <w:t>3. Назначение пожертвования</w:t>
      </w:r>
    </w:p>
    <w:p>
      <w:pPr>
        <w:spacing w:after="80"/>
        <w:ind w:left="255" w:hanging="255"/>
      </w:pPr>
      <w:r>
        <w:t>3.1. Если благотворитель не указал конкретное назначение, пожертвование считается нецелевым и используется на уставную благотворительную деятельность Фонда, реализацию благотворительных программ и необходимые для такой деятельности расходы в пределах, допускаемых законодательством Российской Федерации.</w:t>
      </w:r>
    </w:p>
    <w:p>
      <w:pPr>
        <w:spacing w:after="80"/>
        <w:ind w:left="255" w:hanging="255"/>
      </w:pPr>
      <w:r>
        <w:t>3.2. Если благотворитель выбрал на сайте конкретный проект, программу, сбор или получателя помощи либо указал назначение в платёжном документе, пожертвование является целевым. Условия соответствующей страницы сбора в части назначения пожертвования являются частью договора и имеют приоритет при определении цели использования средств.</w:t>
      </w:r>
    </w:p>
    <w:p>
      <w:pPr>
        <w:spacing w:after="80"/>
        <w:ind w:left="255" w:hanging="255"/>
      </w:pPr>
      <w:r>
        <w:t>3.3. По пожертвованиям, для которых благотворителем установлено определённое назначение, Фонд ведёт обособленный учёт всех операций по их использованию в соответствии с пунктом 3 статьи 582 Гражданского кодекса Российской Федерации.</w:t>
      </w:r>
    </w:p>
    <w:p>
      <w:pPr>
        <w:spacing w:after="80"/>
        <w:ind w:left="255" w:hanging="255"/>
      </w:pPr>
      <w:r>
        <w:t>3.4. Если на странице конкретного сбора до совершения пожертвования прямо указано дополнительное назначение средств на случай полного закрытия потребности, превышения требуемой суммы, прекращения или невозможности оказания помощи по первоначальной цели, такое дополнительное назначение считается частью первоначально согласованной цели пожертвования.</w:t>
      </w:r>
    </w:p>
    <w:p>
      <w:pPr>
        <w:spacing w:after="80"/>
        <w:ind w:left="255" w:hanging="255"/>
      </w:pPr>
      <w:r>
        <w:t>3.5. Если дополнительное назначение заранее не было определено, а использование целевого пожертвования по установленной благотворителем цели стало невозможным либо образовался остаток, который невозможно использовать по этой цели, использование средств по иному назначению допускается только с согласия благотворителя, а в случаях, предусмотренных пунктом 4 статьи 582 Гражданского кодекса Российской Федерации, — по решению суда.</w:t>
      </w:r>
    </w:p>
    <w:p>
      <w:pPr>
        <w:spacing w:after="80"/>
        <w:ind w:left="255" w:hanging="255"/>
      </w:pPr>
      <w:r>
        <w:t>3.6. Фонд вправе отказаться от принятия пожертвования либо инициировать его возврат, если указанное назначение противоречит законодательству, Уставу Фонда, благотворительным целям Фонда или заведомо не может быть исполнено.</w:t>
      </w:r>
    </w:p>
    <w:p>
      <w:pPr>
        <w:pStyle w:val="Heading1"/>
      </w:pPr>
      <w:r>
        <w:t>4. Порядок перечисления пожертвования</w:t>
      </w:r>
    </w:p>
    <w:p>
      <w:pPr>
        <w:spacing w:after="80"/>
        <w:ind w:left="255" w:hanging="255"/>
      </w:pPr>
      <w:r>
        <w:t>4.1. Пожертвование может быть внесено через платёжные инструменты на сайте Фонда, банковским переводом или иным способом, официально предложенным Фондом.</w:t>
      </w:r>
    </w:p>
    <w:p>
      <w:pPr>
        <w:spacing w:after="80"/>
        <w:ind w:left="255" w:hanging="255"/>
      </w:pPr>
      <w:r>
        <w:t>4.2. Актуальные банковские реквизиты и доступные способы оплаты размещаются на сайте Фонда и/или в платёжной форме. Изменение банковского счёта, платёжного сервиса или технического способа оплаты не требует изменения оферты, если получателем пожертвования остаётся Благотворительный фонд «Аннушка».</w:t>
      </w:r>
    </w:p>
    <w:p>
      <w:pPr>
        <w:spacing w:after="80"/>
        <w:ind w:left="255" w:hanging="255"/>
      </w:pPr>
      <w:r>
        <w:t>4.3. Размер пожертвования определяется суммой, указанной благотворителем к перечислению. Банки и платёжные сервисы могут взимать комиссии в соответствии со своими тарифами и договорами. Такие комиссии не изменяют установленное благотворителем целевое назначение пожертвования; порядок их удержания и учёта определяется правилами соответствующего платёжного сервиса и законодательством.</w:t>
      </w:r>
    </w:p>
    <w:p>
      <w:pPr>
        <w:spacing w:after="80"/>
        <w:ind w:left="255" w:hanging="255"/>
      </w:pPr>
      <w:r>
        <w:t>4.4. Благотворителю рекомендуется сохранять документ или электронное подтверждение платежа.</w:t>
      </w:r>
    </w:p>
    <w:p>
      <w:pPr/>
      <w:r>
        <w:t>4.5. Если платёжная форма предлагает регулярные (рекуррентные) пожертвования, согласие на периодические списания оформляется благотворителем отдельно в интерфейсе платёжного сервиса. Акцепт настоящей оферты сам по себе не является согласием на автоматические повторные списания. Отмена регулярного пожертвования прекращает будущие списания и не отменяет уже совершённые пожертвования.</w:t>
      </w:r>
    </w:p>
    <w:p>
      <w:pPr>
        <w:pStyle w:val="Heading1"/>
      </w:pPr>
      <w:r>
        <w:t>5. Использование средств и отчётность</w:t>
      </w:r>
    </w:p>
    <w:p>
      <w:pPr>
        <w:spacing w:after="80"/>
        <w:ind w:left="255" w:hanging="255"/>
      </w:pPr>
      <w:r>
        <w:t>5.1. Фонд использует пожертвования в соответствии с их назначением, Уставом, утверждёнными благотворительными программами, сметами и законодательством Российской Федерации.</w:t>
      </w:r>
    </w:p>
    <w:p>
      <w:pPr>
        <w:spacing w:after="80"/>
        <w:ind w:left="255" w:hanging="255"/>
      </w:pPr>
      <w:r>
        <w:t>5.2. Нецелевые пожертвования могут использоваться в том числе на организационное и административное обеспечение деятельности Фонда в пределах ограничений, установленных законодательством для благотворительных организаций.</w:t>
      </w:r>
    </w:p>
    <w:p>
      <w:pPr>
        <w:spacing w:after="80"/>
        <w:ind w:left="255" w:hanging="255"/>
      </w:pPr>
      <w:r>
        <w:t>5.3. Фонд соблюдает требования законодательства к использованию имущества благотворительной организации, срокам направления благотворительных пожертвований на благотворительные цели, расходам на административно-управленческий персонал и ведению обязательного учёта.</w:t>
      </w:r>
    </w:p>
    <w:p>
      <w:pPr>
        <w:spacing w:after="80"/>
        <w:ind w:left="255" w:hanging="255"/>
      </w:pPr>
      <w:r>
        <w:t>5.4. Фонд ведёт бухгалтерский и иной обязательный учёт поступлений и расходов и формирует отчётность в порядке, установленном законодательством Российской Федерации.</w:t>
      </w:r>
    </w:p>
    <w:p>
      <w:pPr>
        <w:spacing w:after="80"/>
        <w:ind w:left="255" w:hanging="255"/>
      </w:pPr>
      <w:r>
        <w:t>5.5. Публичная информация о деятельности Фонда, программах и результатах помощи размещается на сайте annushkafond.ru в объёме, не нарушающем права и конфиденциальность подопечных, благотворителей и иных лиц.</w:t>
      </w:r>
    </w:p>
    <w:p>
      <w:pPr/>
      <w:r>
        <w:t>5.6. Если для конкретного сбора, программы или отдельного договора предусмотрены специальные условия отчётности перед благотворителем, применяются такие специальные условия.</w:t>
      </w:r>
    </w:p>
    <w:p>
      <w:pPr>
        <w:pStyle w:val="Heading1"/>
      </w:pPr>
      <w:r>
        <w:t>6. Возврат и отмена пожертвования</w:t>
      </w:r>
    </w:p>
    <w:p>
      <w:pPr>
        <w:spacing w:after="80"/>
        <w:ind w:left="255" w:hanging="255"/>
      </w:pPr>
      <w:r>
        <w:t>6.1. Пожертвование является безвозмездной передачей денежных средств. Благотворитель не вправе требовать возврата надлежаще использованного по назначению пожертвования только по причине изменения своего решения, кроме случаев, прямо предусмотренных законодательством Российской Федерации.</w:t>
      </w:r>
    </w:p>
    <w:p>
      <w:pPr>
        <w:spacing w:after="80"/>
        <w:ind w:left="255" w:hanging="255"/>
      </w:pPr>
      <w:r>
        <w:t>6.2. Если платёж совершен ошибочно, благотворитель вправе как можно скорее обратиться по адресу info@annushkafond.ru и сообщить сведения, позволяющие идентифицировать плательщика и платёж: дату, сумму, способ оплаты и идентификатор операции (если он имеется). Фонд вправе запросить дополнительные сведения, необходимые для подтверждения платежа и безопасного возврата.</w:t>
      </w:r>
    </w:p>
    <w:p>
      <w:pPr>
        <w:spacing w:after="80"/>
        <w:ind w:left="255" w:hanging="255"/>
      </w:pPr>
      <w:r>
        <w:t>6.3. Возврат ошибочного платежа рассматривается до использования средств по назначению и осуществляется при наличии правовой и технической возможности, как правило, тем же способом, которым был произведён платёж. Права благотворителя, предусмотренные пунктом 5 статьи 582 Гражданского кодекса Российской Федерации при использовании целевого пожертвования не по назначению, сохраняются независимо от настоящей оферты.</w:t>
      </w:r>
    </w:p>
    <w:p>
      <w:pPr>
        <w:pStyle w:val="Heading1"/>
      </w:pPr>
      <w:r>
        <w:t>7. Персональные данные и конфиденциальность</w:t>
      </w:r>
    </w:p>
    <w:p>
      <w:pPr>
        <w:spacing w:after="80"/>
        <w:ind w:left="255" w:hanging="255"/>
      </w:pPr>
      <w:r>
        <w:t>7.1. При совершении пожертвования Фонд обрабатывает персональные данные только в объёме, необходимом для исполнения договора, подтверждения и учёта платежа, рассмотрения обращений благотворителя и выполнения требований законодательства.</w:t>
      </w:r>
    </w:p>
    <w:p>
      <w:pPr>
        <w:spacing w:after="80"/>
        <w:ind w:left="255" w:hanging="255"/>
      </w:pPr>
      <w:r>
        <w:t>7.2. Обработка персональных данных осуществляется в соответствии с законодательством Российской Федерации и Политикой конфиденциальности Фонда. Когда обработка требует согласия субъекта персональных данных, такое согласие оформляется отдельно от настоящей оферты и иных документов, которые подтверждает или подписывает субъект.</w:t>
      </w:r>
    </w:p>
    <w:p>
      <w:pPr>
        <w:spacing w:after="80"/>
        <w:ind w:left="255" w:hanging="255"/>
      </w:pPr>
      <w:r>
        <w:t>7.3. Акцепт настоящей оферты сам по себе не является согласием на получение рекламы, публикацию имени благотворителя, размера пожертвования, сообщения, фотографии или иных персональных данных, а также на распространение персональных данных. Для таких целей Фонд получает отдельное согласие, если оно требуется законом.</w:t>
      </w:r>
    </w:p>
    <w:p>
      <w:pPr>
        <w:pStyle w:val="Heading1"/>
      </w:pPr>
      <w:r>
        <w:t>8. Права и обязанности сторон</w:t>
      </w:r>
    </w:p>
    <w:p>
      <w:pPr>
        <w:spacing w:after="80"/>
        <w:ind w:left="255" w:hanging="255"/>
      </w:pPr>
      <w:r>
        <w:t>8.1. Благотворитель вправе получать общедоступную информацию о Фонде, его благотворительных программах и отчётности, а также направлять Фонду вопросы об использовании своего целевого пожертвования.</w:t>
      </w:r>
    </w:p>
    <w:p>
      <w:pPr>
        <w:spacing w:after="80"/>
        <w:ind w:left="255" w:hanging="255"/>
      </w:pPr>
      <w:r>
        <w:t>8.2. Благотворитель обязан корректно указывать назначение платежа, если хочет установить целевое назначение пожертвования, и не использовать платёжные инструменты Фонда в противоправных целях.</w:t>
      </w:r>
    </w:p>
    <w:p>
      <w:pPr>
        <w:spacing w:after="80"/>
        <w:ind w:left="255" w:hanging="255"/>
      </w:pPr>
      <w:r>
        <w:t>8.3. Фонд обязан использовать пожертвования добросовестно, по установленному назначению и в рамках законодательства, вести необходимый учёт и обеспечивать сохранность обязательных документов.</w:t>
      </w:r>
    </w:p>
    <w:p>
      <w:pPr>
        <w:spacing w:after="80"/>
        <w:ind w:left="255" w:hanging="255"/>
      </w:pPr>
      <w:r>
        <w:t>8.4. Если условиями конкретного целевого сбора не установлено иное, Фонд вправе самостоятельно выбирать исполнителей, медицинские, реабилитационные, образовательные и иные организации, поставщиков, товары, работы и услуги, необходимые для достижения установленной цели пожертвования.</w:t>
      </w:r>
    </w:p>
    <w:p>
      <w:pPr>
        <w:pStyle w:val="Heading1"/>
      </w:pPr>
      <w:r>
        <w:t>9. Действие и изменение оферты</w:t>
      </w:r>
    </w:p>
    <w:p>
      <w:pPr>
        <w:spacing w:after="80"/>
        <w:ind w:left="255" w:hanging="255"/>
      </w:pPr>
      <w:r>
        <w:rPr>
          <w:rFonts w:ascii="Arimo" w:hAnsi="Arimo"/>
          <w:b/>
          <w:color w:val="6F7E69"/>
          <w:sz w:val="20"/>
        </w:rPr>
        <w:t xml:space="preserve">9.1. </w:t>
      </w:r>
      <w:r>
        <w:rPr>
          <w:rFonts w:ascii="Arimo" w:hAnsi="Arimo"/>
          <w:sz w:val="20"/>
        </w:rPr>
        <w:t>Оферта вступает в силу с момента размещения на сайте Фонда и действует до её отзыва или замены новой редакцией.</w:t>
      </w:r>
    </w:p>
    <w:p>
      <w:pPr>
        <w:spacing w:after="80"/>
        <w:ind w:left="255" w:hanging="255"/>
      </w:pPr>
      <w:r>
        <w:t>9.2. Фонд вправе изменять оферту. Новая редакция применяется только к пожертвованиям, совершённым после её публикации. К ранее совершённому пожертвованию применяется редакция оферты, действовавшая на момент его акцепта, а также условия конкретного целевого сбора, действовавшие на этот момент.</w:t>
      </w:r>
    </w:p>
    <w:p>
      <w:pPr>
        <w:spacing w:after="80"/>
        <w:ind w:left="255" w:hanging="255"/>
      </w:pPr>
      <w:r>
        <w:rPr>
          <w:rFonts w:ascii="Arimo" w:hAnsi="Arimo"/>
          <w:b/>
          <w:color w:val="6F7E69"/>
          <w:sz w:val="20"/>
        </w:rPr>
        <w:t xml:space="preserve">9.3. </w:t>
      </w:r>
      <w:r>
        <w:rPr>
          <w:rFonts w:ascii="Arimo" w:hAnsi="Arimo"/>
          <w:sz w:val="20"/>
        </w:rPr>
        <w:t>Недействительность отдельного положения оферты не влечёт недействительность остальных её положений.</w:t>
      </w:r>
    </w:p>
    <w:p>
      <w:pPr>
        <w:pStyle w:val="Heading1"/>
      </w:pPr>
      <w:r>
        <w:t>10. Обращения и разрешение споров</w:t>
      </w:r>
    </w:p>
    <w:p>
      <w:pPr>
        <w:spacing w:after="80"/>
        <w:ind w:left="255" w:hanging="255"/>
      </w:pPr>
      <w:r>
        <w:t>10.1. Вопросы, заявления, требования о возврате ошибочного платежа и претензии, связанные с пожертвованиями, направляются на info@annushkafond.ru.</w:t>
      </w:r>
    </w:p>
    <w:p>
      <w:pPr>
        <w:spacing w:after="80"/>
        <w:ind w:left="255" w:hanging="255"/>
      </w:pPr>
      <w:r>
        <w:t>10.2. Стороны стремятся урегулировать разногласия путём переговоров и обмена документами. При недостижении соглашения спор разрешается в порядке, установленном законодательством Российской Федерации.</w:t>
      </w:r>
    </w:p>
    <w:tbl>
      <w:tblPr>
        <w:tblW w:type="auto" w:w="0"/>
        <w:jc w:val="left"/>
        <w:tblLook w:firstColumn="1" w:firstRow="1" w:lastColumn="0" w:lastRow="0" w:noHBand="0" w:noVBand="1" w:val="04A0"/>
      </w:tblPr>
      <w:tblGrid>
        <w:gridCol w:w="10256"/>
      </w:tblGrid>
      <w:tr>
        <w:tc>
          <w:tcPr>
            <w:tcW w:type="dxa" w:w="10256"/>
            <w:shd w:fill="EEF1EC"/>
            <w:tcBorders>
              <w:top w:val="nil"/>
              <w:left w:val="single" w:sz="18" w:color="6F7E69"/>
              <w:bottom w:val="nil"/>
              <w:right w:val="nil"/>
            </w:tcBorders>
            <w:tcMar>
              <w:top w:w="100" w:type="dxa"/>
              <w:start w:w="160" w:type="dxa"/>
              <w:bottom w:w="100" w:type="dxa"/>
              <w:end w:w="130" w:type="dxa"/>
            </w:tcMar>
          </w:tcPr>
          <w:p>
            <w:r>
              <w:t>Правовая основа</w:t>
              <w:br/>
              <w:t>Оферта подготовлена с учётом положений Гражданского кодекса Российской Федерации о форме и заключении договора, публичной оферте, акцепте, дарении и пожертвовании (в том числе статьи 434, 435, 437, 438, 574 и 582), Федерального закона № 135-ФЗ «О благотворительной деятельности и добровольчестве (волонтерстве)», Федерального закона № 7-ФЗ «О некоммерческих организациях» и Федерального закона № 152-ФЗ «О персональных данных».</w:t>
            </w:r>
          </w:p>
        </w:tc>
      </w:tr>
    </w:tbl>
    <w:p>
      <w:r>
        <w:br w:type="page"/>
      </w:r>
    </w:p>
    <w:p>
      <w:pPr>
        <w:pStyle w:val="Heading1"/>
      </w:pPr>
      <w:r>
        <w:t>11. Реквизиты Фонда</w:t>
      </w:r>
    </w:p>
    <w:tbl>
      <w:tblPr>
        <w:tblStyle w:val="TableGrid"/>
        <w:tblW w:type="auto" w:w="0"/>
        <w:jc w:val="left"/>
        <w:tblLook w:firstColumn="1" w:firstRow="1" w:lastColumn="0" w:lastRow="0" w:noHBand="0" w:noVBand="1" w:val="04A0"/>
      </w:tblPr>
      <w:tblGrid>
        <w:gridCol w:w="5128"/>
        <w:gridCol w:w="5128"/>
      </w:tblGrid>
      <w:tr>
        <w:tc>
          <w:tcPr>
            <w:tcW w:type="dxa" w:w="5128"/>
            <w:shd w:fill="EEF1EC"/>
            <w:tcMar>
              <w:top w:w="90" w:type="dxa"/>
              <w:start w:w="100" w:type="dxa"/>
              <w:bottom w:w="90" w:type="dxa"/>
              <w:end w:w="100" w:type="dxa"/>
            </w:tcMar>
            <w:vAlign w:val="center"/>
          </w:tcPr>
          <w:p>
            <w:r>
              <w:rPr>
                <w:rFonts w:ascii="Arimo" w:hAnsi="Arimo"/>
                <w:b/>
                <w:sz w:val="18"/>
              </w:rPr>
              <w:t>Полное наименование</w:t>
            </w:r>
          </w:p>
        </w:tc>
        <w:tc>
          <w:tcPr>
            <w:tcW w:type="dxa" w:w="5128"/>
            <w:tcMar>
              <w:top w:w="90" w:type="dxa"/>
              <w:start w:w="100" w:type="dxa"/>
              <w:bottom w:w="90" w:type="dxa"/>
              <w:end w:w="100" w:type="dxa"/>
            </w:tcMar>
            <w:vAlign w:val="center"/>
          </w:tcPr>
          <w:p>
            <w:r>
              <w:rPr>
                <w:rFonts w:ascii="Arimo" w:hAnsi="Arimo"/>
                <w:sz w:val="18"/>
              </w:rPr>
              <w:t>БЛАГОТВОРИТЕЛЬНЫЙ ФОНД «АННУШКА»</w:t>
            </w:r>
          </w:p>
        </w:tc>
      </w:tr>
      <w:tr>
        <w:tc>
          <w:tcPr>
            <w:tcW w:type="dxa" w:w="5128"/>
            <w:shd w:fill="EEF1EC"/>
            <w:tcMar>
              <w:top w:w="90" w:type="dxa"/>
              <w:start w:w="100" w:type="dxa"/>
              <w:bottom w:w="90" w:type="dxa"/>
              <w:end w:w="100" w:type="dxa"/>
            </w:tcMar>
            <w:vAlign w:val="center"/>
          </w:tcPr>
          <w:p>
            <w:r>
              <w:rPr>
                <w:rFonts w:ascii="Arimo" w:hAnsi="Arimo"/>
                <w:b/>
                <w:sz w:val="18"/>
              </w:rPr>
              <w:t>ОГРН</w:t>
            </w:r>
          </w:p>
        </w:tc>
        <w:tc>
          <w:tcPr>
            <w:tcW w:type="dxa" w:w="5128"/>
            <w:tcMar>
              <w:top w:w="90" w:type="dxa"/>
              <w:start w:w="100" w:type="dxa"/>
              <w:bottom w:w="90" w:type="dxa"/>
              <w:end w:w="100" w:type="dxa"/>
            </w:tcMar>
            <w:vAlign w:val="center"/>
          </w:tcPr>
          <w:p>
            <w:r>
              <w:rPr>
                <w:rFonts w:ascii="Arimo" w:hAnsi="Arimo"/>
                <w:sz w:val="18"/>
              </w:rPr>
              <w:t>1265000052602</w:t>
            </w:r>
          </w:p>
        </w:tc>
      </w:tr>
      <w:tr>
        <w:tc>
          <w:tcPr>
            <w:tcW w:type="dxa" w:w="5128"/>
            <w:shd w:fill="EEF1EC"/>
            <w:tcMar>
              <w:top w:w="90" w:type="dxa"/>
              <w:start w:w="100" w:type="dxa"/>
              <w:bottom w:w="90" w:type="dxa"/>
              <w:end w:w="100" w:type="dxa"/>
            </w:tcMar>
            <w:vAlign w:val="center"/>
          </w:tcPr>
          <w:p>
            <w:r>
              <w:rPr>
                <w:rFonts w:ascii="Arimo" w:hAnsi="Arimo"/>
                <w:b/>
                <w:sz w:val="18"/>
              </w:rPr>
              <w:t>ИНН</w:t>
            </w:r>
          </w:p>
        </w:tc>
        <w:tc>
          <w:tcPr>
            <w:tcW w:type="dxa" w:w="5128"/>
            <w:tcMar>
              <w:top w:w="90" w:type="dxa"/>
              <w:start w:w="100" w:type="dxa"/>
              <w:bottom w:w="90" w:type="dxa"/>
              <w:end w:w="100" w:type="dxa"/>
            </w:tcMar>
            <w:vAlign w:val="center"/>
          </w:tcPr>
          <w:p>
            <w:r>
              <w:rPr>
                <w:rFonts w:ascii="Arimo" w:hAnsi="Arimo"/>
                <w:sz w:val="18"/>
              </w:rPr>
              <w:t>5005079532</w:t>
            </w:r>
          </w:p>
        </w:tc>
      </w:tr>
      <w:tr>
        <w:tc>
          <w:tcPr>
            <w:tcW w:type="dxa" w:w="5128"/>
            <w:shd w:fill="EEF1EC"/>
            <w:tcMar>
              <w:top w:w="90" w:type="dxa"/>
              <w:start w:w="100" w:type="dxa"/>
              <w:bottom w:w="90" w:type="dxa"/>
              <w:end w:w="100" w:type="dxa"/>
            </w:tcMar>
            <w:vAlign w:val="center"/>
          </w:tcPr>
          <w:p>
            <w:r>
              <w:rPr>
                <w:rFonts w:ascii="Arimo" w:hAnsi="Arimo"/>
                <w:b/>
                <w:sz w:val="18"/>
              </w:rPr>
              <w:t>КПП</w:t>
            </w:r>
          </w:p>
        </w:tc>
        <w:tc>
          <w:tcPr>
            <w:tcW w:type="dxa" w:w="5128"/>
            <w:tcMar>
              <w:top w:w="90" w:type="dxa"/>
              <w:start w:w="100" w:type="dxa"/>
              <w:bottom w:w="90" w:type="dxa"/>
              <w:end w:w="100" w:type="dxa"/>
            </w:tcMar>
            <w:vAlign w:val="center"/>
          </w:tcPr>
          <w:p>
            <w:r>
              <w:rPr>
                <w:rFonts w:ascii="Arimo" w:hAnsi="Arimo"/>
                <w:sz w:val="18"/>
              </w:rPr>
              <w:t>500501001</w:t>
            </w:r>
          </w:p>
        </w:tc>
      </w:tr>
      <w:tr>
        <w:tc>
          <w:tcPr>
            <w:tcW w:type="dxa" w:w="5128"/>
            <w:shd w:fill="EEF1EC"/>
            <w:tcMar>
              <w:top w:w="90" w:type="dxa"/>
              <w:start w:w="100" w:type="dxa"/>
              <w:bottom w:w="90" w:type="dxa"/>
              <w:end w:w="100" w:type="dxa"/>
            </w:tcMar>
            <w:vAlign w:val="center"/>
          </w:tcPr>
          <w:p>
            <w:r>
              <w:rPr>
                <w:rFonts w:ascii="Arimo" w:hAnsi="Arimo"/>
                <w:b/>
                <w:sz w:val="18"/>
              </w:rPr>
              <w:t>Юридический адрес</w:t>
            </w:r>
          </w:p>
        </w:tc>
        <w:tc>
          <w:tcPr>
            <w:tcW w:type="dxa" w:w="5128"/>
            <w:tcMar>
              <w:top w:w="90" w:type="dxa"/>
              <w:start w:w="100" w:type="dxa"/>
              <w:bottom w:w="90" w:type="dxa"/>
              <w:end w:w="100" w:type="dxa"/>
            </w:tcMar>
            <w:vAlign w:val="center"/>
          </w:tcPr>
          <w:p>
            <w:r>
              <w:rPr>
                <w:rFonts w:ascii="Arimo" w:hAnsi="Arimo"/>
                <w:sz w:val="18"/>
              </w:rPr>
              <w:t>140200, Московская область, г.о. Воскресенск, г. Воскресенск, ул. Победы, д. 6, кв. 81</w:t>
            </w:r>
          </w:p>
        </w:tc>
      </w:tr>
      <w:tr>
        <w:tc>
          <w:tcPr>
            <w:tcW w:type="dxa" w:w="5128"/>
            <w:shd w:fill="EEF1EC"/>
            <w:tcMar>
              <w:top w:w="90" w:type="dxa"/>
              <w:start w:w="100" w:type="dxa"/>
              <w:bottom w:w="90" w:type="dxa"/>
              <w:end w:w="100" w:type="dxa"/>
            </w:tcMar>
            <w:vAlign w:val="center"/>
          </w:tcPr>
          <w:p>
            <w:r>
              <w:rPr>
                <w:rFonts w:ascii="Arimo" w:hAnsi="Arimo"/>
                <w:b/>
                <w:sz w:val="18"/>
              </w:rPr>
              <w:t>Директор</w:t>
            </w:r>
          </w:p>
        </w:tc>
        <w:tc>
          <w:tcPr>
            <w:tcW w:type="dxa" w:w="5128"/>
            <w:tcMar>
              <w:top w:w="90" w:type="dxa"/>
              <w:start w:w="100" w:type="dxa"/>
              <w:bottom w:w="90" w:type="dxa"/>
              <w:end w:w="100" w:type="dxa"/>
            </w:tcMar>
            <w:vAlign w:val="center"/>
          </w:tcPr>
          <w:p>
            <w:r>
              <w:rPr>
                <w:rFonts w:ascii="Arimo" w:hAnsi="Arimo"/>
                <w:sz w:val="18"/>
              </w:rPr>
              <w:t>Гильфанов Айрат Галиахметович</w:t>
            </w:r>
          </w:p>
        </w:tc>
      </w:tr>
      <w:tr>
        <w:tc>
          <w:tcPr>
            <w:tcW w:type="dxa" w:w="5128"/>
            <w:shd w:fill="EEF1EC"/>
            <w:tcMar>
              <w:top w:w="90" w:type="dxa"/>
              <w:start w:w="100" w:type="dxa"/>
              <w:bottom w:w="90" w:type="dxa"/>
              <w:end w:w="100" w:type="dxa"/>
            </w:tcMar>
            <w:vAlign w:val="center"/>
          </w:tcPr>
          <w:p>
            <w:r>
              <w:rPr>
                <w:rFonts w:ascii="Arimo" w:hAnsi="Arimo"/>
                <w:b/>
                <w:sz w:val="18"/>
              </w:rPr>
              <w:t>Сайт</w:t>
            </w:r>
          </w:p>
        </w:tc>
        <w:tc>
          <w:tcPr>
            <w:tcW w:type="dxa" w:w="5128"/>
            <w:tcMar>
              <w:top w:w="90" w:type="dxa"/>
              <w:start w:w="100" w:type="dxa"/>
              <w:bottom w:w="90" w:type="dxa"/>
              <w:end w:w="100" w:type="dxa"/>
            </w:tcMar>
            <w:vAlign w:val="center"/>
          </w:tcPr>
          <w:p>
            <w:r>
              <w:rPr>
                <w:rFonts w:ascii="Arimo" w:hAnsi="Arimo"/>
                <w:sz w:val="18"/>
              </w:rPr>
              <w:t>https://annushkafond.ru</w:t>
            </w:r>
          </w:p>
        </w:tc>
      </w:tr>
      <w:tr>
        <w:tc>
          <w:tcPr>
            <w:tcW w:type="dxa" w:w="5128"/>
            <w:shd w:fill="EEF1EC"/>
            <w:tcMar>
              <w:top w:w="90" w:type="dxa"/>
              <w:start w:w="100" w:type="dxa"/>
              <w:bottom w:w="90" w:type="dxa"/>
              <w:end w:w="100" w:type="dxa"/>
            </w:tcMar>
            <w:vAlign w:val="center"/>
          </w:tcPr>
          <w:p>
            <w:r>
              <w:rPr>
                <w:rFonts w:ascii="Arimo" w:hAnsi="Arimo"/>
                <w:b/>
                <w:sz w:val="18"/>
              </w:rPr>
              <w:t>E-mail</w:t>
            </w:r>
          </w:p>
        </w:tc>
        <w:tc>
          <w:tcPr>
            <w:tcW w:type="dxa" w:w="5128"/>
            <w:tcMar>
              <w:top w:w="90" w:type="dxa"/>
              <w:start w:w="100" w:type="dxa"/>
              <w:bottom w:w="90" w:type="dxa"/>
              <w:end w:w="100" w:type="dxa"/>
            </w:tcMar>
            <w:vAlign w:val="center"/>
          </w:tcPr>
          <w:p>
            <w:r>
              <w:rPr>
                <w:rFonts w:ascii="Arimo" w:hAnsi="Arimo"/>
                <w:sz w:val="18"/>
              </w:rPr>
              <w:t>info@annushkafond.ru</w:t>
            </w:r>
          </w:p>
        </w:tc>
      </w:tr>
    </w:tbl>
    <w:p>
      <w:pPr>
        <w:spacing w:before="200" w:after="0"/>
      </w:pPr>
      <w:r>
        <w:rPr>
          <w:rFonts w:ascii="Arimo" w:hAnsi="Arimo"/>
          <w:color w:val="6F7E69"/>
          <w:sz w:val="18"/>
        </w:rPr>
        <w:t>Дата публикации редакции: 09.08.2026</w:t>
      </w:r>
    </w:p>
    <w:sectPr w:rsidR="00FC693F" w:rsidRPr="0006063C" w:rsidSect="00034616">
      <w:headerReference w:type="default" r:id="rId9"/>
      <w:footerReference w:type="default" r:id="rId10"/>
      <w:pgSz w:w="12240" w:h="15840"/>
      <w:pgMar w:top="907" w:right="992" w:bottom="879" w:left="992"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rimo" w:hAnsi="Arimo"/>
        <w:color w:val="6F7E69"/>
        <w:sz w:val="16"/>
      </w:rPr>
      <w:t>annushkafond.ru   •   info@annushkafond.ru</w:t>
    </w:r>
  </w:p>
  <w:p>
    <w:pPr>
      <w:jc w:val="right"/>
    </w:pPr>
    <w:r>
      <w:rPr>
        <w:rFonts w:ascii="Arimo" w:hAnsi="Arimo"/>
        <w:color w:val="6F7E69"/>
        <w:sz w:val="16"/>
      </w:rPr>
      <w:t xml:space="preserve">Страница </w:t>
    </w:r>
    <w:r>
      <w:rPr>
        <w:rFonts w:ascii="Arimo" w:hAnsi="Arimo"/>
        <w:sz w:val="16"/>
        <w:color w:val="6F7E69"/>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left"/>
      <w:pBdr>
        <w:bottom w:val="single" w:sz="8" w:space="1" w:color="E8D6C1"/>
      </w:pBdr>
    </w:pPr>
    <w:r>
      <w:rPr>
        <w:rFonts w:ascii="Arimo" w:hAnsi="Arimo"/>
        <w:b/>
        <w:color w:val="6F7E69"/>
        <w:sz w:val="22"/>
      </w:rPr>
      <w:t>АННУШКА</w:t>
    </w:r>
    <w:r>
      <w:rPr>
        <w:rFonts w:ascii="Arimo" w:hAnsi="Arimo"/>
        <w:color w:val="4F5A46"/>
        <w:sz w:val="17"/>
      </w:rPr>
      <w:t xml:space="preserve">   |   Благотворительный фонд</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mo" w:hAnsi="Arimo" w:eastAsia="Arimo"/>
      <w:color w:val="4F5A4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mo" w:hAnsi="Arimo" w:eastAsia="Arimo"/>
      <w:b/>
      <w:bCs/>
      <w:color w:val="6F7E69"/>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rimo" w:hAnsi="Arimo" w:eastAsia="Arimo"/>
      <w:b/>
      <w:bCs/>
      <w:color w:val="C77455"/>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mo" w:hAnsi="Arimo" w:eastAsia="Arimo"/>
      <w:b/>
      <w:color w:val="4F5A4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о заключении договора пожертвования — Благотворительный фонд «Аннушка»</dc:title>
  <dc:subject>Благотворительный фонд «Аннушка»</dc:subject>
  <dc:creator>Благотворительный фонд «Аннушка»</dc:creator>
  <cp:keywords>Аннушка; благотворительный фонд</cp:keywords>
  <dc:description>generated by python-docx</dc:description>
  <cp:lastModifiedBy/>
  <cp:revision>1</cp:revision>
  <dcterms:created xsi:type="dcterms:W3CDTF">2013-12-23T23:15:00Z</dcterms:created>
  <dcterms:modified xsi:type="dcterms:W3CDTF">2013-12-23T23:15:00Z</dcterms:modified>
  <cp:category/>
</cp:coreProperties>
</file>