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AnnushkaLegalTitle"/>
        <w:jc w:val="left"/>
        <w:pBdr>
          <w:bottom w:val="single" w:sz="18" w:space="6" w:color="C9785C"/>
        </w:pBdr>
      </w:pPr>
      <w:r>
        <w:rPr>
          <w:rFonts w:ascii="PT Serif" w:hAnsi="PT Serif" w:eastAsia="PT Serif"/>
          <w:b/>
          <w:color w:val="465A4B"/>
          <w:sz w:val="42"/>
        </w:rPr>
        <w:t>Политика в отношении обработки персональных данных</w:t>
      </w:r>
    </w:p>
    <w:p>
      <w:pPr>
        <w:pStyle w:val="AnnushkaLegalSubtitle"/>
      </w:pPr>
      <w:r>
        <w:rPr>
          <w:rFonts w:ascii="PT Serif" w:hAnsi="PT Serif" w:eastAsia="PT Serif"/>
          <w:i/>
          <w:color w:val="6E6A65"/>
          <w:sz w:val="21"/>
        </w:rPr>
        <w:t>Благотворительный фонд «Аннушка»</w:t>
      </w:r>
    </w:p>
    <w:p>
      <w:pPr>
        <w:jc w:val="right"/>
      </w:pPr>
      <w:r>
        <w:rPr>
          <w:rFonts w:ascii="Noto Sans" w:hAnsi="Noto Sans" w:eastAsia="Noto Sans"/>
          <w:color w:val="6E6A65"/>
          <w:sz w:val="17"/>
        </w:rPr>
        <w:t>Редакция от 08 августа 2026 г.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rPr>
          <w:cantSplit/>
        </w:trPr>
        <w:tc>
          <w:tcPr>
            <w:tcW w:type="dxa" w:w="10256"/>
            <w:shd w:fill="F6F0E6"/>
            <w:tcBorders>
              <w:top w:val="single" w:sz="8" w:color="D8CBB8"/>
              <w:left w:val="single" w:sz="8" w:color="D8CBB8"/>
              <w:bottom w:val="single" w:sz="8" w:color="D8CBB8"/>
              <w:right w:val="single" w:sz="8" w:color="D8CBB8"/>
            </w:tcBorders>
          </w:tcPr>
          <w:p>
            <w:r>
              <w:rPr>
                <w:rFonts w:ascii="PT Serif" w:hAnsi="PT Serif" w:eastAsia="PT Serif"/>
                <w:b/>
                <w:color w:val="465A4B"/>
                <w:sz w:val="22"/>
              </w:rPr>
              <w:t>Назначение документа</w:t>
              <w:br/>
            </w:r>
            <w:r>
              <w:rPr>
                <w:rFonts w:ascii="PT Serif" w:hAnsi="PT Serif" w:eastAsia="PT Serif"/>
                <w:color w:val="333333"/>
                <w:sz w:val="21"/>
              </w:rPr>
              <w:t>Политика разработана во исполнение требований Федерального закона № 152-ФЗ и определяет основные принципы, цели, состав, способы и условия обработки персональных данных Фондом. Для сайта Политика должна быть доступна на страницах, где осуществляется сбор персональных данных.</w:t>
            </w:r>
          </w:p>
        </w:tc>
      </w:tr>
    </w:tbl>
    <w:p>
      <w:pPr>
        <w:spacing w:after="0"/>
      </w:pPr>
    </w:p>
    <w:p>
      <w:pPr>
        <w:pStyle w:val="AnnushkaH1"/>
      </w:pPr>
      <w:r>
        <w:rPr>
          <w:rFonts w:ascii="PT Serif" w:hAnsi="PT Serif" w:eastAsia="PT Serif"/>
          <w:b/>
          <w:color w:val="465A4B"/>
          <w:sz w:val="28"/>
        </w:rPr>
        <w:t>1. Общие положения</w:t>
      </w:r>
    </w:p>
    <w:p>
      <w:r>
        <w:rPr>
          <w:rFonts w:ascii="PT Serif" w:hAnsi="PT Serif" w:eastAsia="PT Serif"/>
          <w:color w:val="333333"/>
          <w:sz w:val="22"/>
        </w:rPr>
        <w:t>1.1. Настоящая Политика действует в отношении персональных данных, которые Фонд получает и обрабатывает в рамках своей уставной, благотворительной, информационной, договорной и организационной деятельности, в том числе через сайт.</w:t>
      </w:r>
    </w:p>
    <w:p>
      <w:r>
        <w:rPr>
          <w:rFonts w:ascii="PT Serif" w:hAnsi="PT Serif" w:eastAsia="PT Serif"/>
          <w:color w:val="333333"/>
          <w:sz w:val="22"/>
        </w:rPr>
        <w:t>1.2. Фонд исходит из принципов законности и справедливости обработки, ограничения обработки конкретными и заранее определёнными целями, минимизации объёма данных, обеспечения точности, ограничения сроков хранения и конфиденциальности.</w:t>
      </w:r>
    </w:p>
    <w:p>
      <w:r>
        <w:rPr>
          <w:rFonts w:ascii="PT Serif" w:hAnsi="PT Serif" w:eastAsia="PT Serif"/>
          <w:color w:val="333333"/>
          <w:sz w:val="22"/>
        </w:rPr>
        <w:t>1.3. Если для конкретной цели требуется отдельное согласие - в том числе письменное согласие, согласие на распространение или согласие на обработку специальных категорий данных, - Фонд оформляет его отдельно в предусмотренной законом форме.</w:t>
      </w:r>
    </w:p>
    <w:p>
      <w:pPr>
        <w:pStyle w:val="AnnushkaH1"/>
      </w:pPr>
      <w:r>
        <w:rPr>
          <w:rFonts w:ascii="PT Serif" w:hAnsi="PT Serif" w:eastAsia="PT Serif"/>
          <w:b/>
          <w:color w:val="465A4B"/>
          <w:sz w:val="28"/>
        </w:rPr>
        <w:t>2. Сведения об операторе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28"/>
        <w:gridCol w:w="5128"/>
      </w:tblGrid>
      <w:tr>
        <w:trPr>
          <w:tblHeader w:val="true"/>
          <w:cantSplit/>
        </w:trPr>
        <w:tc>
          <w:tcPr>
            <w:tcW w:type="dxa" w:w="3118"/>
            <w:shd w:fill="465A4B"/>
          </w:tcPr>
          <w:p>
            <w:r>
              <w:rPr>
                <w:rFonts w:ascii="Noto Sans" w:hAnsi="Noto Sans" w:eastAsia="Noto Sans"/>
                <w:b/>
                <w:color w:val="FFFFFF"/>
                <w:sz w:val="18"/>
              </w:rPr>
              <w:t>Параметр</w:t>
            </w:r>
          </w:p>
        </w:tc>
        <w:tc>
          <w:tcPr>
            <w:tcW w:type="dxa" w:w="6350"/>
            <w:shd w:fill="465A4B"/>
          </w:tcPr>
          <w:p>
            <w:r>
              <w:rPr>
                <w:rFonts w:ascii="Noto Sans" w:hAnsi="Noto Sans" w:eastAsia="Noto Sans"/>
                <w:b/>
                <w:color w:val="FFFFFF"/>
                <w:sz w:val="18"/>
              </w:rPr>
              <w:t>Сведения</w:t>
            </w:r>
          </w:p>
        </w:tc>
      </w:tr>
      <w:tr>
        <w:trPr>
          <w:cantSplit/>
        </w:trPr>
        <w:tc>
          <w:tcPr>
            <w:tcW w:type="dxa" w:w="3118"/>
            <w:shd w:fill="EEF2EC"/>
            <w:vAlign w:val="center"/>
            <w:tcBorders>
              <w:top w:val="single" w:sz="4" w:color="D9D2C5"/>
              <w:left w:val="single" w:sz="4" w:color="D9D2C5"/>
              <w:bottom w:val="single" w:sz="4" w:color="D9D2C5"/>
              <w:right w:val="single" w:sz="4" w:color="D9D2C5"/>
            </w:tcBorders>
          </w:tcPr>
          <w:p>
            <w:r>
              <w:rPr>
                <w:rFonts w:ascii="PT Serif" w:hAnsi="PT Serif" w:eastAsia="PT Serif"/>
                <w:b/>
                <w:color w:val="333333"/>
                <w:sz w:val="19"/>
              </w:rPr>
              <w:t>Полное наименование</w:t>
            </w:r>
          </w:p>
        </w:tc>
        <w:tc>
          <w:tcPr>
            <w:tcW w:type="dxa" w:w="6350"/>
            <w:vAlign w:val="center"/>
            <w:tcBorders>
              <w:top w:val="single" w:sz="4" w:color="D9D2C5"/>
              <w:left w:val="single" w:sz="4" w:color="D9D2C5"/>
              <w:bottom w:val="single" w:sz="4" w:color="D9D2C5"/>
              <w:right w:val="single" w:sz="4" w:color="D9D2C5"/>
            </w:tcBorders>
          </w:tcPr>
          <w:p>
            <w:r/>
            <w:r>
              <w:rPr>
                <w:rFonts w:ascii="PT Serif" w:hAnsi="PT Serif" w:eastAsia="PT Serif"/>
                <w:color w:val="333333"/>
                <w:sz w:val="19"/>
              </w:rPr>
              <w:t>БЛАГОТВОРИТЕЛЬНЫЙ ФОНД «АННУШКА»</w:t>
            </w:r>
          </w:p>
        </w:tc>
      </w:tr>
      <w:tr>
        <w:trPr>
          <w:cantSplit/>
        </w:trPr>
        <w:tc>
          <w:tcPr>
            <w:tcW w:type="dxa" w:w="3118"/>
            <w:shd w:fill="EEF2EC"/>
            <w:vAlign w:val="center"/>
            <w:tcBorders>
              <w:top w:val="single" w:sz="4" w:color="D9D2C5"/>
              <w:left w:val="single" w:sz="4" w:color="D9D2C5"/>
              <w:bottom w:val="single" w:sz="4" w:color="D9D2C5"/>
              <w:right w:val="single" w:sz="4" w:color="D9D2C5"/>
            </w:tcBorders>
          </w:tcPr>
          <w:p>
            <w:r>
              <w:rPr>
                <w:rFonts w:ascii="PT Serif" w:hAnsi="PT Serif" w:eastAsia="PT Serif"/>
                <w:b/>
                <w:color w:val="333333"/>
                <w:sz w:val="19"/>
              </w:rPr>
              <w:t>ОГРН</w:t>
            </w:r>
          </w:p>
        </w:tc>
        <w:tc>
          <w:tcPr>
            <w:tcW w:type="dxa" w:w="6350"/>
            <w:vAlign w:val="center"/>
            <w:tcBorders>
              <w:top w:val="single" w:sz="4" w:color="D9D2C5"/>
              <w:left w:val="single" w:sz="4" w:color="D9D2C5"/>
              <w:bottom w:val="single" w:sz="4" w:color="D9D2C5"/>
              <w:right w:val="single" w:sz="4" w:color="D9D2C5"/>
            </w:tcBorders>
          </w:tcPr>
          <w:p>
            <w:r/>
            <w:r>
              <w:rPr>
                <w:rFonts w:ascii="PT Serif" w:hAnsi="PT Serif" w:eastAsia="PT Serif"/>
                <w:color w:val="333333"/>
                <w:sz w:val="19"/>
              </w:rPr>
              <w:t>1265000052602</w:t>
            </w:r>
          </w:p>
        </w:tc>
      </w:tr>
      <w:tr>
        <w:trPr>
          <w:cantSplit/>
        </w:trPr>
        <w:tc>
          <w:tcPr>
            <w:tcW w:type="dxa" w:w="3118"/>
            <w:shd w:fill="EEF2EC"/>
            <w:vAlign w:val="center"/>
            <w:tcBorders>
              <w:top w:val="single" w:sz="4" w:color="D9D2C5"/>
              <w:left w:val="single" w:sz="4" w:color="D9D2C5"/>
              <w:bottom w:val="single" w:sz="4" w:color="D9D2C5"/>
              <w:right w:val="single" w:sz="4" w:color="D9D2C5"/>
            </w:tcBorders>
          </w:tcPr>
          <w:p>
            <w:r>
              <w:rPr>
                <w:rFonts w:ascii="PT Serif" w:hAnsi="PT Serif" w:eastAsia="PT Serif"/>
                <w:b/>
                <w:color w:val="333333"/>
                <w:sz w:val="19"/>
              </w:rPr>
              <w:t>ИНН</w:t>
            </w:r>
          </w:p>
        </w:tc>
        <w:tc>
          <w:tcPr>
            <w:tcW w:type="dxa" w:w="6350"/>
            <w:vAlign w:val="center"/>
            <w:tcBorders>
              <w:top w:val="single" w:sz="4" w:color="D9D2C5"/>
              <w:left w:val="single" w:sz="4" w:color="D9D2C5"/>
              <w:bottom w:val="single" w:sz="4" w:color="D9D2C5"/>
              <w:right w:val="single" w:sz="4" w:color="D9D2C5"/>
            </w:tcBorders>
          </w:tcPr>
          <w:p>
            <w:r/>
            <w:r>
              <w:rPr>
                <w:rFonts w:ascii="PT Serif" w:hAnsi="PT Serif" w:eastAsia="PT Serif"/>
                <w:color w:val="333333"/>
                <w:sz w:val="19"/>
              </w:rPr>
              <w:t>5005079532</w:t>
            </w:r>
          </w:p>
        </w:tc>
      </w:tr>
      <w:tr>
        <w:trPr>
          <w:cantSplit/>
        </w:trPr>
        <w:tc>
          <w:tcPr>
            <w:tcW w:type="dxa" w:w="3118"/>
            <w:shd w:fill="EEF2EC"/>
            <w:vAlign w:val="center"/>
            <w:tcBorders>
              <w:top w:val="single" w:sz="4" w:color="D9D2C5"/>
              <w:left w:val="single" w:sz="4" w:color="D9D2C5"/>
              <w:bottom w:val="single" w:sz="4" w:color="D9D2C5"/>
              <w:right w:val="single" w:sz="4" w:color="D9D2C5"/>
            </w:tcBorders>
          </w:tcPr>
          <w:p>
            <w:r>
              <w:rPr>
                <w:rFonts w:ascii="PT Serif" w:hAnsi="PT Serif" w:eastAsia="PT Serif"/>
                <w:b/>
                <w:color w:val="333333"/>
                <w:sz w:val="19"/>
              </w:rPr>
              <w:t>КПП</w:t>
            </w:r>
          </w:p>
        </w:tc>
        <w:tc>
          <w:tcPr>
            <w:tcW w:type="dxa" w:w="6350"/>
            <w:vAlign w:val="center"/>
            <w:tcBorders>
              <w:top w:val="single" w:sz="4" w:color="D9D2C5"/>
              <w:left w:val="single" w:sz="4" w:color="D9D2C5"/>
              <w:bottom w:val="single" w:sz="4" w:color="D9D2C5"/>
              <w:right w:val="single" w:sz="4" w:color="D9D2C5"/>
            </w:tcBorders>
          </w:tcPr>
          <w:p>
            <w:r/>
            <w:r>
              <w:rPr>
                <w:rFonts w:ascii="PT Serif" w:hAnsi="PT Serif" w:eastAsia="PT Serif"/>
                <w:color w:val="333333"/>
                <w:sz w:val="19"/>
              </w:rPr>
              <w:t>500501001</w:t>
            </w:r>
          </w:p>
        </w:tc>
      </w:tr>
      <w:tr>
        <w:trPr>
          <w:cantSplit/>
        </w:trPr>
        <w:tc>
          <w:tcPr>
            <w:tcW w:type="dxa" w:w="3118"/>
            <w:shd w:fill="EEF2EC"/>
            <w:vAlign w:val="center"/>
            <w:tcBorders>
              <w:top w:val="single" w:sz="4" w:color="D9D2C5"/>
              <w:left w:val="single" w:sz="4" w:color="D9D2C5"/>
              <w:bottom w:val="single" w:sz="4" w:color="D9D2C5"/>
              <w:right w:val="single" w:sz="4" w:color="D9D2C5"/>
            </w:tcBorders>
          </w:tcPr>
          <w:p>
            <w:r>
              <w:rPr>
                <w:rFonts w:ascii="PT Serif" w:hAnsi="PT Serif" w:eastAsia="PT Serif"/>
                <w:b/>
                <w:color w:val="333333"/>
                <w:sz w:val="19"/>
              </w:rPr>
              <w:t>Юридический / почтовый адрес</w:t>
            </w:r>
          </w:p>
        </w:tc>
        <w:tc>
          <w:tcPr>
            <w:tcW w:type="dxa" w:w="6350"/>
            <w:vAlign w:val="center"/>
            <w:tcBorders>
              <w:top w:val="single" w:sz="4" w:color="D9D2C5"/>
              <w:left w:val="single" w:sz="4" w:color="D9D2C5"/>
              <w:bottom w:val="single" w:sz="4" w:color="D9D2C5"/>
              <w:right w:val="single" w:sz="4" w:color="D9D2C5"/>
            </w:tcBorders>
          </w:tcPr>
          <w:p>
            <w:r/>
            <w:r>
              <w:rPr>
                <w:rFonts w:ascii="PT Serif" w:hAnsi="PT Serif" w:eastAsia="PT Serif"/>
                <w:color w:val="333333"/>
                <w:sz w:val="19"/>
              </w:rPr>
              <w:t>140200, Московская область, г.о. Воскресенск, г. Воскресенск, ул. Победы, д. 6, кв. 81</w:t>
            </w:r>
          </w:p>
        </w:tc>
      </w:tr>
      <w:tr>
        <w:trPr>
          <w:cantSplit/>
        </w:trPr>
        <w:tc>
          <w:tcPr>
            <w:tcW w:type="dxa" w:w="3118"/>
            <w:shd w:fill="EEF2EC"/>
            <w:vAlign w:val="center"/>
            <w:tcBorders>
              <w:top w:val="single" w:sz="4" w:color="D9D2C5"/>
              <w:left w:val="single" w:sz="4" w:color="D9D2C5"/>
              <w:bottom w:val="single" w:sz="4" w:color="D9D2C5"/>
              <w:right w:val="single" w:sz="4" w:color="D9D2C5"/>
            </w:tcBorders>
          </w:tcPr>
          <w:p>
            <w:r>
              <w:rPr>
                <w:rFonts w:ascii="PT Serif" w:hAnsi="PT Serif" w:eastAsia="PT Serif"/>
                <w:b/>
                <w:color w:val="333333"/>
                <w:sz w:val="19"/>
              </w:rPr>
              <w:t>Руководитель</w:t>
            </w:r>
          </w:p>
        </w:tc>
        <w:tc>
          <w:tcPr>
            <w:tcW w:type="dxa" w:w="6350"/>
            <w:vAlign w:val="center"/>
            <w:tcBorders>
              <w:top w:val="single" w:sz="4" w:color="D9D2C5"/>
              <w:left w:val="single" w:sz="4" w:color="D9D2C5"/>
              <w:bottom w:val="single" w:sz="4" w:color="D9D2C5"/>
              <w:right w:val="single" w:sz="4" w:color="D9D2C5"/>
            </w:tcBorders>
          </w:tcPr>
          <w:p>
            <w:r/>
            <w:r>
              <w:rPr>
                <w:rFonts w:ascii="PT Serif" w:hAnsi="PT Serif" w:eastAsia="PT Serif"/>
                <w:color w:val="333333"/>
                <w:sz w:val="19"/>
              </w:rPr>
              <w:t>Гильфанов Айрат Галиахметович</w:t>
            </w:r>
          </w:p>
        </w:tc>
      </w:tr>
      <w:tr>
        <w:trPr>
          <w:cantSplit/>
        </w:trPr>
        <w:tc>
          <w:tcPr>
            <w:tcW w:type="dxa" w:w="3118"/>
            <w:shd w:fill="EEF2EC"/>
            <w:vAlign w:val="center"/>
            <w:tcBorders>
              <w:top w:val="single" w:sz="4" w:color="D9D2C5"/>
              <w:left w:val="single" w:sz="4" w:color="D9D2C5"/>
              <w:bottom w:val="single" w:sz="4" w:color="D9D2C5"/>
              <w:right w:val="single" w:sz="4" w:color="D9D2C5"/>
            </w:tcBorders>
          </w:tcPr>
          <w:p>
            <w:r>
              <w:rPr>
                <w:rFonts w:ascii="PT Serif" w:hAnsi="PT Serif" w:eastAsia="PT Serif"/>
                <w:b/>
                <w:color w:val="333333"/>
                <w:sz w:val="19"/>
              </w:rPr>
              <w:t>Сайт</w:t>
            </w:r>
          </w:p>
        </w:tc>
        <w:tc>
          <w:tcPr>
            <w:tcW w:type="dxa" w:w="6350"/>
            <w:vAlign w:val="center"/>
            <w:tcBorders>
              <w:top w:val="single" w:sz="4" w:color="D9D2C5"/>
              <w:left w:val="single" w:sz="4" w:color="D9D2C5"/>
              <w:bottom w:val="single" w:sz="4" w:color="D9D2C5"/>
              <w:right w:val="single" w:sz="4" w:color="D9D2C5"/>
            </w:tcBorders>
          </w:tcPr>
          <w:p>
            <w:r>
              <w:rPr/>
              <w:t>https://annushkafond.ru</w:t>
            </w:r>
            <w:r>
              <w:rPr>
                <w:rFonts w:ascii="Noto Sans" w:hAnsi="Noto Sans" w:eastAsia="Noto Sans"/>
                <w:b/>
                <w:color w:val="8A5A00"/>
                <w:sz w:val="18"/>
                <w:shd w:fill="FFF2CC"/>
              </w:rPr>
            </w:r>
          </w:p>
        </w:tc>
      </w:tr>
      <w:tr>
        <w:trPr>
          <w:cantSplit/>
        </w:trPr>
        <w:tc>
          <w:tcPr>
            <w:tcW w:type="dxa" w:w="3118"/>
            <w:shd w:fill="EEF2EC"/>
            <w:vAlign w:val="center"/>
            <w:tcBorders>
              <w:top w:val="single" w:sz="4" w:color="D9D2C5"/>
              <w:left w:val="single" w:sz="4" w:color="D9D2C5"/>
              <w:bottom w:val="single" w:sz="4" w:color="D9D2C5"/>
              <w:right w:val="single" w:sz="4" w:color="D9D2C5"/>
            </w:tcBorders>
          </w:tcPr>
          <w:p>
            <w:r>
              <w:rPr>
                <w:rFonts w:ascii="PT Serif" w:hAnsi="PT Serif" w:eastAsia="PT Serif"/>
                <w:b/>
                <w:color w:val="333333"/>
                <w:sz w:val="19"/>
              </w:rPr>
              <w:t>E-mail по вопросам персональных данных</w:t>
            </w:r>
          </w:p>
        </w:tc>
        <w:tc>
          <w:tcPr>
            <w:tcW w:type="dxa" w:w="6350"/>
            <w:vAlign w:val="center"/>
            <w:tcBorders>
              <w:top w:val="single" w:sz="4" w:color="D9D2C5"/>
              <w:left w:val="single" w:sz="4" w:color="D9D2C5"/>
              <w:bottom w:val="single" w:sz="4" w:color="D9D2C5"/>
              <w:right w:val="single" w:sz="4" w:color="D9D2C5"/>
            </w:tcBorders>
          </w:tcPr>
          <w:p>
            <w:r>
              <w:rPr/>
              <w:t>info@annushkafond.ru</w:t>
            </w:r>
            <w:r>
              <w:rPr>
                <w:rFonts w:ascii="Noto Sans" w:hAnsi="Noto Sans" w:eastAsia="Noto Sans"/>
                <w:b/>
                <w:color w:val="8A5A00"/>
                <w:sz w:val="18"/>
                <w:shd w:fill="FFF2CC"/>
              </w:rPr>
            </w:r>
          </w:p>
        </w:tc>
      </w:tr>
    </w:tbl>
    <w:p>
      <w:pPr>
        <w:pStyle w:val="AnnushkaH1"/>
      </w:pPr>
      <w:r>
        <w:rPr>
          <w:rFonts w:ascii="PT Serif" w:hAnsi="PT Serif" w:eastAsia="PT Serif"/>
          <w:b/>
          <w:color w:val="465A4B"/>
          <w:sz w:val="28"/>
        </w:rPr>
        <w:t>3. Правовые основания обработки</w:t>
      </w:r>
    </w:p>
    <w:p>
      <w:r>
        <w:rPr>
          <w:rFonts w:ascii="PT Serif" w:hAnsi="PT Serif" w:eastAsia="PT Serif"/>
          <w:color w:val="333333"/>
          <w:sz w:val="22"/>
        </w:rPr>
        <w:t>Фонд обрабатывает персональные данные при наличии одного или нескольких законных оснований, в частности: согласия субъекта; необходимости исполнения договора, стороной, выгодоприобретателем или поручителем по которому является субъект; исполнения обязанностей, возложенных на Фонд законодательством; иных оснований, прямо предусмотренных законодательством Российской Федерации.</w:t>
      </w:r>
    </w:p>
    <w:p>
      <w:pPr>
        <w:pStyle w:val="AnnushkaH1"/>
      </w:pPr>
      <w:r>
        <w:rPr>
          <w:rFonts w:ascii="PT Serif" w:hAnsi="PT Serif" w:eastAsia="PT Serif"/>
          <w:b/>
          <w:color w:val="465A4B"/>
          <w:sz w:val="28"/>
        </w:rPr>
        <w:t>4. Категории субъектов, цели и состав данных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64"/>
        <w:gridCol w:w="2564"/>
        <w:gridCol w:w="2564"/>
        <w:gridCol w:w="2564"/>
      </w:tblGrid>
      <w:tr>
        <w:trPr>
          <w:tblHeader w:val="true"/>
          <w:cantSplit/>
        </w:trPr>
        <w:tc>
          <w:tcPr>
            <w:tcW w:type="dxa" w:w="2268"/>
            <w:shd w:fill="465A4B"/>
          </w:tcPr>
          <w:p>
            <w:r>
              <w:rPr>
                <w:rFonts w:ascii="Noto Sans" w:hAnsi="Noto Sans" w:eastAsia="Noto Sans"/>
                <w:b/>
                <w:color w:val="FFFFFF"/>
                <w:sz w:val="16"/>
              </w:rPr>
              <w:t>Субъекты / цель</w:t>
            </w:r>
          </w:p>
        </w:tc>
        <w:tc>
          <w:tcPr>
            <w:tcW w:type="dxa" w:w="3005"/>
            <w:shd w:fill="465A4B"/>
          </w:tcPr>
          <w:p>
            <w:r>
              <w:rPr>
                <w:rFonts w:ascii="Noto Sans" w:hAnsi="Noto Sans" w:eastAsia="Noto Sans"/>
                <w:b/>
                <w:color w:val="FFFFFF"/>
                <w:sz w:val="16"/>
              </w:rPr>
              <w:t>Данные</w:t>
            </w:r>
          </w:p>
        </w:tc>
        <w:tc>
          <w:tcPr>
            <w:tcW w:type="dxa" w:w="2268"/>
            <w:shd w:fill="465A4B"/>
          </w:tcPr>
          <w:p>
            <w:r>
              <w:rPr>
                <w:rFonts w:ascii="Noto Sans" w:hAnsi="Noto Sans" w:eastAsia="Noto Sans"/>
                <w:b/>
                <w:color w:val="FFFFFF"/>
                <w:sz w:val="16"/>
              </w:rPr>
              <w:t>Основание</w:t>
            </w:r>
          </w:p>
        </w:tc>
        <w:tc>
          <w:tcPr>
            <w:tcW w:type="dxa" w:w="1984"/>
            <w:shd w:fill="465A4B"/>
          </w:tcPr>
          <w:p>
            <w:r>
              <w:rPr>
                <w:rFonts w:ascii="Noto Sans" w:hAnsi="Noto Sans" w:eastAsia="Noto Sans"/>
                <w:b/>
                <w:color w:val="FFFFFF"/>
                <w:sz w:val="16"/>
              </w:rPr>
              <w:t>Срок / условие</w:t>
            </w:r>
          </w:p>
        </w:tc>
      </w:tr>
      <w:tr>
        <w:trPr>
          <w:cantSplit/>
        </w:trPr>
        <w:tc>
          <w:tcPr>
            <w:tcW w:type="dxa" w:w="2268"/>
            <w:shd w:fill="EEF2EC"/>
            <w:tcBorders>
              <w:top w:val="single" w:sz="3" w:color="D9D2C5"/>
              <w:left w:val="single" w:sz="3" w:color="D9D2C5"/>
              <w:bottom w:val="single" w:sz="3" w:color="D9D2C5"/>
              <w:right w:val="single" w:sz="3" w:color="D9D2C5"/>
            </w:tcBorders>
            <w:vAlign w:val="top"/>
          </w:tcPr>
          <w:p>
            <w:r>
              <w:rPr>
                <w:rFonts w:ascii="PT Serif" w:hAnsi="PT Serif" w:eastAsia="PT Serif"/>
                <w:color w:val="333333"/>
                <w:sz w:val="16"/>
              </w:rPr>
              <w:t>Посетители сайта / обратная связь</w:t>
            </w:r>
          </w:p>
        </w:tc>
        <w:tc>
          <w:tcPr>
            <w:tcW w:type="dxa" w:w="3005"/>
            <w:tcBorders>
              <w:top w:val="single" w:sz="3" w:color="D9D2C5"/>
              <w:left w:val="single" w:sz="3" w:color="D9D2C5"/>
              <w:bottom w:val="single" w:sz="3" w:color="D9D2C5"/>
              <w:right w:val="single" w:sz="3" w:color="D9D2C5"/>
            </w:tcBorders>
            <w:vAlign w:val="top"/>
          </w:tcPr>
          <w:p>
            <w:r>
              <w:rPr>
                <w:rFonts w:ascii="PT Serif" w:hAnsi="PT Serif" w:eastAsia="PT Serif"/>
                <w:color w:val="333333"/>
                <w:sz w:val="16"/>
              </w:rPr>
              <w:t>Имя; телефон и/или e-mail; текст обращения; технические данные, необходимые для работы формы и подтверждения согласия</w:t>
            </w:r>
          </w:p>
        </w:tc>
        <w:tc>
          <w:tcPr>
            <w:tcW w:type="dxa" w:w="2268"/>
            <w:tcBorders>
              <w:top w:val="single" w:sz="3" w:color="D9D2C5"/>
              <w:left w:val="single" w:sz="3" w:color="D9D2C5"/>
              <w:bottom w:val="single" w:sz="3" w:color="D9D2C5"/>
              <w:right w:val="single" w:sz="3" w:color="D9D2C5"/>
            </w:tcBorders>
            <w:vAlign w:val="top"/>
          </w:tcPr>
          <w:p>
            <w:r>
              <w:rPr>
                <w:rFonts w:ascii="PT Serif" w:hAnsi="PT Serif" w:eastAsia="PT Serif"/>
                <w:color w:val="333333"/>
                <w:sz w:val="16"/>
              </w:rPr>
              <w:t>Отдельное согласие; закон в предусмотренных случаях</w:t>
            </w:r>
          </w:p>
        </w:tc>
        <w:tc>
          <w:tcPr>
            <w:tcW w:type="dxa" w:w="1984"/>
            <w:tcBorders>
              <w:top w:val="single" w:sz="3" w:color="D9D2C5"/>
              <w:left w:val="single" w:sz="3" w:color="D9D2C5"/>
              <w:bottom w:val="single" w:sz="3" w:color="D9D2C5"/>
              <w:right w:val="single" w:sz="3" w:color="D9D2C5"/>
            </w:tcBorders>
            <w:vAlign w:val="top"/>
          </w:tcPr>
          <w:p>
            <w:r>
              <w:rPr>
                <w:rFonts w:ascii="PT Serif" w:hAnsi="PT Serif" w:eastAsia="PT Serif"/>
                <w:color w:val="333333"/>
                <w:sz w:val="16"/>
              </w:rPr>
              <w:t>До достижения цели; обычно не более 1 года после последнего взаимодействия, если закон не требует иного</w:t>
            </w:r>
          </w:p>
        </w:tc>
      </w:tr>
      <w:tr>
        <w:trPr>
          <w:cantSplit/>
        </w:trPr>
        <w:tc>
          <w:tcPr>
            <w:tcW w:type="dxa" w:w="2268"/>
            <w:shd w:fill="EEF2EC"/>
            <w:tcBorders>
              <w:top w:val="single" w:sz="3" w:color="D9D2C5"/>
              <w:left w:val="single" w:sz="3" w:color="D9D2C5"/>
              <w:bottom w:val="single" w:sz="3" w:color="D9D2C5"/>
              <w:right w:val="single" w:sz="3" w:color="D9D2C5"/>
            </w:tcBorders>
            <w:vAlign w:val="top"/>
          </w:tcPr>
          <w:p>
            <w:r>
              <w:rPr>
                <w:rFonts w:ascii="PT Serif" w:hAnsi="PT Serif" w:eastAsia="PT Serif"/>
                <w:color w:val="333333"/>
                <w:sz w:val="16"/>
              </w:rPr>
              <w:t>Благотворители / оформление и учёт пожертвований</w:t>
            </w:r>
          </w:p>
        </w:tc>
        <w:tc>
          <w:tcPr>
            <w:tcW w:type="dxa" w:w="3005"/>
            <w:tcBorders>
              <w:top w:val="single" w:sz="3" w:color="D9D2C5"/>
              <w:left w:val="single" w:sz="3" w:color="D9D2C5"/>
              <w:bottom w:val="single" w:sz="3" w:color="D9D2C5"/>
              <w:right w:val="single" w:sz="3" w:color="D9D2C5"/>
            </w:tcBorders>
            <w:vAlign w:val="top"/>
          </w:tcPr>
          <w:p>
            <w:r>
              <w:rPr>
                <w:rFonts w:ascii="PT Serif" w:hAnsi="PT Serif" w:eastAsia="PT Serif"/>
                <w:color w:val="333333"/>
                <w:sz w:val="16"/>
              </w:rPr>
              <w:t>ФИО/имя при наличии; контактные данные; сумма, дата и идентификатор операции; сведения, необходимые для учёта. Фонд не должен получать полные реквизиты банковской карты, если платёж обрабатывает платёжный партнёр</w:t>
            </w:r>
          </w:p>
        </w:tc>
        <w:tc>
          <w:tcPr>
            <w:tcW w:type="dxa" w:w="2268"/>
            <w:tcBorders>
              <w:top w:val="single" w:sz="3" w:color="D9D2C5"/>
              <w:left w:val="single" w:sz="3" w:color="D9D2C5"/>
              <w:bottom w:val="single" w:sz="3" w:color="D9D2C5"/>
              <w:right w:val="single" w:sz="3" w:color="D9D2C5"/>
            </w:tcBorders>
            <w:vAlign w:val="top"/>
          </w:tcPr>
          <w:p>
            <w:r>
              <w:rPr>
                <w:rFonts w:ascii="PT Serif" w:hAnsi="PT Serif" w:eastAsia="PT Serif"/>
                <w:color w:val="333333"/>
                <w:sz w:val="16"/>
              </w:rPr>
              <w:t>Договор/пожертвование; исполнение закона; согласие - когда требуется</w:t>
            </w:r>
          </w:p>
        </w:tc>
        <w:tc>
          <w:tcPr>
            <w:tcW w:type="dxa" w:w="1984"/>
            <w:tcBorders>
              <w:top w:val="single" w:sz="3" w:color="D9D2C5"/>
              <w:left w:val="single" w:sz="3" w:color="D9D2C5"/>
              <w:bottom w:val="single" w:sz="3" w:color="D9D2C5"/>
              <w:right w:val="single" w:sz="3" w:color="D9D2C5"/>
            </w:tcBorders>
            <w:vAlign w:val="top"/>
          </w:tcPr>
          <w:p>
            <w:r>
              <w:rPr>
                <w:rFonts w:ascii="PT Serif" w:hAnsi="PT Serif" w:eastAsia="PT Serif"/>
                <w:color w:val="333333"/>
                <w:sz w:val="16"/>
              </w:rPr>
              <w:t>По срокам, установленным законодательством для учёта и подтверждения операций</w:t>
            </w:r>
          </w:p>
        </w:tc>
      </w:tr>
      <w:tr>
        <w:trPr>
          <w:cantSplit/>
        </w:trPr>
        <w:tc>
          <w:tcPr>
            <w:tcW w:type="dxa" w:w="2268"/>
            <w:shd w:fill="EEF2EC"/>
            <w:tcBorders>
              <w:top w:val="single" w:sz="3" w:color="D9D2C5"/>
              <w:left w:val="single" w:sz="3" w:color="D9D2C5"/>
              <w:bottom w:val="single" w:sz="3" w:color="D9D2C5"/>
              <w:right w:val="single" w:sz="3" w:color="D9D2C5"/>
            </w:tcBorders>
            <w:vAlign w:val="top"/>
          </w:tcPr>
          <w:p>
            <w:r>
              <w:rPr>
                <w:rFonts w:ascii="PT Serif" w:hAnsi="PT Serif" w:eastAsia="PT Serif"/>
                <w:color w:val="333333"/>
                <w:sz w:val="16"/>
              </w:rPr>
              <w:t>Заявители, подопечные и их законные представители / рассмотрение заявок на помощь</w:t>
            </w:r>
          </w:p>
        </w:tc>
        <w:tc>
          <w:tcPr>
            <w:tcW w:type="dxa" w:w="3005"/>
            <w:tcBorders>
              <w:top w:val="single" w:sz="3" w:color="D9D2C5"/>
              <w:left w:val="single" w:sz="3" w:color="D9D2C5"/>
              <w:bottom w:val="single" w:sz="3" w:color="D9D2C5"/>
              <w:right w:val="single" w:sz="3" w:color="D9D2C5"/>
            </w:tcBorders>
            <w:vAlign w:val="top"/>
          </w:tcPr>
          <w:p>
            <w:r>
              <w:rPr>
                <w:rFonts w:ascii="PT Serif" w:hAnsi="PT Serif" w:eastAsia="PT Serif"/>
                <w:color w:val="333333"/>
                <w:sz w:val="16"/>
              </w:rPr>
              <w:t>Идентификационные и контактные данные; сведения по заявке. Данные о здоровье, ребёнке, медицинские документы - только при наличии отдельного надлежащего основания и согласия, если оно требуется</w:t>
            </w:r>
          </w:p>
        </w:tc>
        <w:tc>
          <w:tcPr>
            <w:tcW w:type="dxa" w:w="2268"/>
            <w:tcBorders>
              <w:top w:val="single" w:sz="3" w:color="D9D2C5"/>
              <w:left w:val="single" w:sz="3" w:color="D9D2C5"/>
              <w:bottom w:val="single" w:sz="3" w:color="D9D2C5"/>
              <w:right w:val="single" w:sz="3" w:color="D9D2C5"/>
            </w:tcBorders>
            <w:vAlign w:val="top"/>
          </w:tcPr>
          <w:p>
            <w:r>
              <w:rPr>
                <w:rFonts w:ascii="PT Serif" w:hAnsi="PT Serif" w:eastAsia="PT Serif"/>
                <w:color w:val="333333"/>
                <w:sz w:val="16"/>
              </w:rPr>
              <w:t>Согласие; специальные основания ст. 10 Закона № 152-ФЗ; договор/закон - в зависимости от ситуации</w:t>
            </w:r>
          </w:p>
        </w:tc>
        <w:tc>
          <w:tcPr>
            <w:tcW w:type="dxa" w:w="1984"/>
            <w:tcBorders>
              <w:top w:val="single" w:sz="3" w:color="D9D2C5"/>
              <w:left w:val="single" w:sz="3" w:color="D9D2C5"/>
              <w:bottom w:val="single" w:sz="3" w:color="D9D2C5"/>
              <w:right w:val="single" w:sz="3" w:color="D9D2C5"/>
            </w:tcBorders>
            <w:vAlign w:val="top"/>
          </w:tcPr>
          <w:p>
            <w:r>
              <w:rPr>
                <w:rFonts w:ascii="PT Serif" w:hAnsi="PT Serif" w:eastAsia="PT Serif"/>
                <w:color w:val="333333"/>
                <w:sz w:val="16"/>
              </w:rPr>
              <w:t>До достижения цели и далее только при наличии правового основания; сроки фиксируются в отдельном процессе/согласии</w:t>
            </w:r>
          </w:p>
        </w:tc>
      </w:tr>
      <w:tr>
        <w:trPr>
          <w:cantSplit/>
        </w:trPr>
        <w:tc>
          <w:tcPr>
            <w:tcW w:type="dxa" w:w="2268"/>
            <w:shd w:fill="EEF2EC"/>
            <w:tcBorders>
              <w:top w:val="single" w:sz="3" w:color="D9D2C5"/>
              <w:left w:val="single" w:sz="3" w:color="D9D2C5"/>
              <w:bottom w:val="single" w:sz="3" w:color="D9D2C5"/>
              <w:right w:val="single" w:sz="3" w:color="D9D2C5"/>
            </w:tcBorders>
            <w:vAlign w:val="top"/>
          </w:tcPr>
          <w:p>
            <w:r>
              <w:rPr>
                <w:rFonts w:ascii="PT Serif" w:hAnsi="PT Serif" w:eastAsia="PT Serif"/>
                <w:color w:val="333333"/>
                <w:sz w:val="16"/>
              </w:rPr>
              <w:t>Волонтёры, партнёры, контрагенты / организация взаимодействия</w:t>
            </w:r>
          </w:p>
        </w:tc>
        <w:tc>
          <w:tcPr>
            <w:tcW w:type="dxa" w:w="3005"/>
            <w:tcBorders>
              <w:top w:val="single" w:sz="3" w:color="D9D2C5"/>
              <w:left w:val="single" w:sz="3" w:color="D9D2C5"/>
              <w:bottom w:val="single" w:sz="3" w:color="D9D2C5"/>
              <w:right w:val="single" w:sz="3" w:color="D9D2C5"/>
            </w:tcBorders>
            <w:vAlign w:val="top"/>
          </w:tcPr>
          <w:p>
            <w:r>
              <w:rPr>
                <w:rFonts w:ascii="PT Serif" w:hAnsi="PT Serif" w:eastAsia="PT Serif"/>
                <w:color w:val="333333"/>
                <w:sz w:val="16"/>
              </w:rPr>
              <w:t>ФИО; контактные и профессиональные сведения; реквизиты договора и документы, необходимые для взаимодействия</w:t>
            </w:r>
          </w:p>
        </w:tc>
        <w:tc>
          <w:tcPr>
            <w:tcW w:type="dxa" w:w="2268"/>
            <w:tcBorders>
              <w:top w:val="single" w:sz="3" w:color="D9D2C5"/>
              <w:left w:val="single" w:sz="3" w:color="D9D2C5"/>
              <w:bottom w:val="single" w:sz="3" w:color="D9D2C5"/>
              <w:right w:val="single" w:sz="3" w:color="D9D2C5"/>
            </w:tcBorders>
            <w:vAlign w:val="top"/>
          </w:tcPr>
          <w:p>
            <w:r>
              <w:rPr>
                <w:rFonts w:ascii="PT Serif" w:hAnsi="PT Serif" w:eastAsia="PT Serif"/>
                <w:color w:val="333333"/>
                <w:sz w:val="16"/>
              </w:rPr>
              <w:t>Договор; согласие; закон</w:t>
            </w:r>
          </w:p>
        </w:tc>
        <w:tc>
          <w:tcPr>
            <w:tcW w:type="dxa" w:w="1984"/>
            <w:tcBorders>
              <w:top w:val="single" w:sz="3" w:color="D9D2C5"/>
              <w:left w:val="single" w:sz="3" w:color="D9D2C5"/>
              <w:bottom w:val="single" w:sz="3" w:color="D9D2C5"/>
              <w:right w:val="single" w:sz="3" w:color="D9D2C5"/>
            </w:tcBorders>
            <w:vAlign w:val="top"/>
          </w:tcPr>
          <w:p>
            <w:r>
              <w:rPr>
                <w:rFonts w:ascii="PT Serif" w:hAnsi="PT Serif" w:eastAsia="PT Serif"/>
                <w:color w:val="333333"/>
                <w:sz w:val="16"/>
              </w:rPr>
              <w:t>В течение договора и сроков, необходимых по закону/для защиты прав</w:t>
            </w:r>
          </w:p>
        </w:tc>
      </w:tr>
      <w:tr>
        <w:trPr>
          <w:cantSplit/>
        </w:trPr>
        <w:tc>
          <w:tcPr>
            <w:tcW w:type="dxa" w:w="2268"/>
            <w:shd w:fill="EEF2EC"/>
            <w:tcBorders>
              <w:top w:val="single" w:sz="3" w:color="D9D2C5"/>
              <w:left w:val="single" w:sz="3" w:color="D9D2C5"/>
              <w:bottom w:val="single" w:sz="3" w:color="D9D2C5"/>
              <w:right w:val="single" w:sz="3" w:color="D9D2C5"/>
            </w:tcBorders>
            <w:vAlign w:val="top"/>
          </w:tcPr>
          <w:p>
            <w:r>
              <w:rPr>
                <w:rFonts w:ascii="PT Serif" w:hAnsi="PT Serif" w:eastAsia="PT Serif"/>
                <w:color w:val="333333"/>
                <w:sz w:val="16"/>
              </w:rPr>
              <w:t>Кандидаты и работники / кадровые процессы</w:t>
            </w:r>
          </w:p>
        </w:tc>
        <w:tc>
          <w:tcPr>
            <w:tcW w:type="dxa" w:w="3005"/>
            <w:tcBorders>
              <w:top w:val="single" w:sz="3" w:color="D9D2C5"/>
              <w:left w:val="single" w:sz="3" w:color="D9D2C5"/>
              <w:bottom w:val="single" w:sz="3" w:color="D9D2C5"/>
              <w:right w:val="single" w:sz="3" w:color="D9D2C5"/>
            </w:tcBorders>
            <w:vAlign w:val="top"/>
          </w:tcPr>
          <w:p>
            <w:r>
              <w:rPr>
                <w:rFonts w:ascii="PT Serif" w:hAnsi="PT Serif" w:eastAsia="PT Serif"/>
                <w:color w:val="333333"/>
                <w:sz w:val="16"/>
              </w:rPr>
              <w:t>Данные, предусмотренные трудовым законодательством и кадровыми документами</w:t>
            </w:r>
          </w:p>
        </w:tc>
        <w:tc>
          <w:tcPr>
            <w:tcW w:type="dxa" w:w="2268"/>
            <w:tcBorders>
              <w:top w:val="single" w:sz="3" w:color="D9D2C5"/>
              <w:left w:val="single" w:sz="3" w:color="D9D2C5"/>
              <w:bottom w:val="single" w:sz="3" w:color="D9D2C5"/>
              <w:right w:val="single" w:sz="3" w:color="D9D2C5"/>
            </w:tcBorders>
            <w:vAlign w:val="top"/>
          </w:tcPr>
          <w:p>
            <w:r>
              <w:rPr>
                <w:rFonts w:ascii="PT Serif" w:hAnsi="PT Serif" w:eastAsia="PT Serif"/>
                <w:color w:val="333333"/>
                <w:sz w:val="16"/>
              </w:rPr>
              <w:t>Трудовое законодательство; договор; согласие - когда требуется</w:t>
            </w:r>
          </w:p>
        </w:tc>
        <w:tc>
          <w:tcPr>
            <w:tcW w:type="dxa" w:w="1984"/>
            <w:tcBorders>
              <w:top w:val="single" w:sz="3" w:color="D9D2C5"/>
              <w:left w:val="single" w:sz="3" w:color="D9D2C5"/>
              <w:bottom w:val="single" w:sz="3" w:color="D9D2C5"/>
              <w:right w:val="single" w:sz="3" w:color="D9D2C5"/>
            </w:tcBorders>
            <w:vAlign w:val="top"/>
          </w:tcPr>
          <w:p>
            <w:r>
              <w:rPr>
                <w:rFonts w:ascii="PT Serif" w:hAnsi="PT Serif" w:eastAsia="PT Serif"/>
                <w:color w:val="333333"/>
                <w:sz w:val="16"/>
              </w:rPr>
              <w:t>В сроки, установленные трудовым, архивным и иным законодательством</w:t>
            </w:r>
          </w:p>
        </w:tc>
      </w:tr>
    </w:tbl>
    <w:p>
      <w:pPr>
        <w:pStyle w:val="AnnushkaH1"/>
      </w:pPr>
      <w:r>
        <w:rPr>
          <w:rFonts w:ascii="PT Serif" w:hAnsi="PT Serif" w:eastAsia="PT Serif"/>
          <w:b/>
          <w:color w:val="465A4B"/>
          <w:sz w:val="28"/>
        </w:rPr>
        <w:t>5. Специальные категории данных и данные детей</w:t>
      </w:r>
    </w:p>
    <w:p>
      <w:r>
        <w:rPr>
          <w:rFonts w:ascii="PT Serif" w:hAnsi="PT Serif" w:eastAsia="PT Serif"/>
          <w:color w:val="333333"/>
          <w:sz w:val="22"/>
        </w:rPr>
        <w:t>5.1. Сведения о состоянии здоровья относятся к специальным категориям персональных данных. Их обработка допускается только при наличии оснований, предусмотренных законом. Фонд не собирает такие сведения через обычную форму обратной связи.</w:t>
      </w:r>
    </w:p>
    <w:p>
      <w:r>
        <w:rPr>
          <w:rFonts w:ascii="PT Serif" w:hAnsi="PT Serif" w:eastAsia="PT Serif"/>
          <w:color w:val="333333"/>
          <w:sz w:val="22"/>
        </w:rPr>
        <w:t>5.2. При обращении за благотворительной помощью, когда необходимы медицинские документы или сведения о ребёнке, используется отдельный процесс и отдельные формы согласий. Согласие от имени несовершеннолетнего в необходимых случаях даёт его законный представитель.</w:t>
      </w:r>
    </w:p>
    <w:p>
      <w:r>
        <w:rPr>
          <w:rFonts w:ascii="PT Serif" w:hAnsi="PT Serif" w:eastAsia="PT Serif"/>
          <w:color w:val="333333"/>
          <w:sz w:val="22"/>
        </w:rPr>
        <w:t>5.3. Публикация на сайте или в социальных сетях имени, фотографии, истории болезни, видео и иных сведений о подопечном требует отдельной правовой оценки и, когда сведения предназначаются для неопределённого круга лиц, отдельного согласия на обработку персональных данных, разрешённых для распространения.</w:t>
      </w:r>
    </w:p>
    <w:p>
      <w:pPr>
        <w:pStyle w:val="AnnushkaH1"/>
      </w:pPr>
      <w:r>
        <w:rPr>
          <w:rFonts w:ascii="PT Serif" w:hAnsi="PT Serif" w:eastAsia="PT Serif"/>
          <w:b/>
          <w:color w:val="465A4B"/>
          <w:sz w:val="28"/>
        </w:rPr>
        <w:t>6. Порядок и способы обработки</w:t>
      </w:r>
    </w:p>
    <w:p>
      <w:r>
        <w:rPr>
          <w:rFonts w:ascii="PT Serif" w:hAnsi="PT Serif" w:eastAsia="PT Serif"/>
          <w:color w:val="333333"/>
          <w:sz w:val="22"/>
        </w:rPr>
        <w:t>Фонд может осуществлять автоматизированную, неавтоматизированную и смешанную обработку: сбор, запись, систематизацию, накопление, хранение, уточнение, извлечение, использование, предоставление в предусмотренных законом случаях, блокирование, удаление и уничтожение персональных данных.</w:t>
      </w:r>
    </w:p>
    <w:p>
      <w:r>
        <w:rPr>
          <w:rFonts w:ascii="PT Serif" w:hAnsi="PT Serif" w:eastAsia="PT Serif"/>
          <w:color w:val="333333"/>
          <w:sz w:val="22"/>
        </w:rPr>
        <w:t>Обработка ограничивается объёмом, необходимым для заявленной цели. Объединение баз данных, обрабатываемых в несовместимых целях, не допускается.</w:t>
      </w:r>
    </w:p>
    <w:p>
      <w:pPr>
        <w:pStyle w:val="AnnushkaH1"/>
      </w:pPr>
      <w:r>
        <w:rPr>
          <w:rFonts w:ascii="PT Serif" w:hAnsi="PT Serif" w:eastAsia="PT Serif"/>
          <w:b/>
          <w:color w:val="465A4B"/>
          <w:sz w:val="28"/>
        </w:rPr>
        <w:t>7. Передача третьим лицам и обработка по поручению</w:t>
      </w:r>
    </w:p>
    <w:p>
      <w:r>
        <w:rPr>
          <w:rFonts w:ascii="PT Serif" w:hAnsi="PT Serif" w:eastAsia="PT Serif"/>
          <w:color w:val="333333"/>
          <w:sz w:val="22"/>
        </w:rPr>
        <w:t>Фонд может привлекать лиц, обеспечивающих хостинг, техническую поддержку, электронную почту, CRM/учёт обращений, платёжные сервисы, бухгалтерское и иное сопровождение. Передача производится только при наличии правового основания и в объёме, необходимом для цели. В договорах с лицами, обрабатывающими данные по поручению Фонда, закрепляются обязанности по конфиденциальности и защите данных.</w:t>
      </w:r>
    </w:p>
    <w:p>
      <w:r>
        <w:rPr>
          <w:rFonts w:ascii="PT Serif" w:hAnsi="PT Serif" w:eastAsia="PT Serif"/>
          <w:color w:val="333333"/>
          <w:sz w:val="22"/>
        </w:rPr>
        <w:t>Фонд не распространяет персональные данные в открытом доступе без отдельного законного основания. Для публикации историй подопечных, фотографий и иных материалов применяются отдельные правила и согласия.</w:t>
      </w:r>
    </w:p>
    <w:p>
      <w:pPr>
        <w:pStyle w:val="AnnushkaH1"/>
      </w:pPr>
      <w:r>
        <w:rPr>
          <w:rFonts w:ascii="PT Serif" w:hAnsi="PT Serif" w:eastAsia="PT Serif"/>
          <w:b/>
          <w:color w:val="465A4B"/>
          <w:sz w:val="28"/>
        </w:rPr>
        <w:t>8. Локализация и трансграничная передача</w:t>
      </w:r>
    </w:p>
    <w:p>
      <w:r>
        <w:rPr>
          <w:rFonts w:ascii="PT Serif" w:hAnsi="PT Serif" w:eastAsia="PT Serif"/>
          <w:color w:val="333333"/>
          <w:sz w:val="22"/>
        </w:rPr>
        <w:t>При сборе персональных данных граждан Российской Федерации через Интернет Фонд обеспечивает первичную запись, систематизацию, накопление, хранение, уточнение и извлечение с использованием баз данных на территории Российской Федерации, кроме предусмотренных законом исключений.</w:t>
      </w:r>
    </w:p>
    <w:p>
      <w:r>
        <w:rPr>
          <w:rFonts w:ascii="PT Serif" w:hAnsi="PT Serif" w:eastAsia="PT Serif"/>
          <w:color w:val="333333"/>
          <w:sz w:val="22"/>
        </w:rPr>
        <w:t>Если в будущем планируется трансграничная передача персональных данных, Фонд до её начала выполняет требования законодательства, включая необходимые уведомительные и оценочные процедуры. Сам факт размещения настоящей Политики не означает, что трансграничная передача осуществляется.</w:t>
      </w:r>
    </w:p>
    <w:p>
      <w:pPr>
        <w:pStyle w:val="AnnushkaH1"/>
      </w:pPr>
      <w:r>
        <w:rPr>
          <w:rFonts w:ascii="PT Serif" w:hAnsi="PT Serif" w:eastAsia="PT Serif"/>
          <w:b/>
          <w:color w:val="465A4B"/>
          <w:sz w:val="28"/>
        </w:rPr>
        <w:t>9. Сроки обработки и уничтожение</w:t>
      </w:r>
    </w:p>
    <w:p>
      <w:r>
        <w:rPr>
          <w:rFonts w:ascii="PT Serif" w:hAnsi="PT Serif" w:eastAsia="PT Serif"/>
          <w:color w:val="333333"/>
          <w:sz w:val="22"/>
        </w:rPr>
        <w:t>Срок обработки определяется целью, договором и требованиями законодательства. После достижения цели либо при прекращении законного основания Фонд прекращает обработку и уничтожает данные в сроки, установленные законом. При отзыве согласия данные уничтожаются, если их дальнейшее хранение не требуется на ином законном основании.</w:t>
      </w:r>
    </w:p>
    <w:p>
      <w:pPr>
        <w:pStyle w:val="AnnushkaH1"/>
      </w:pPr>
      <w:r>
        <w:rPr>
          <w:rFonts w:ascii="PT Serif" w:hAnsi="PT Serif" w:eastAsia="PT Serif"/>
          <w:b/>
          <w:color w:val="465A4B"/>
          <w:sz w:val="28"/>
        </w:rPr>
        <w:t>10. Права субъектов персональных данных</w:t>
      </w:r>
    </w:p>
    <w:p>
      <w:pPr>
        <w:pStyle w:val="ListBullet"/>
        <w:spacing w:after="60"/>
      </w:pPr>
      <w:r>
        <w:rPr>
          <w:rFonts w:ascii="PT Serif" w:hAnsi="PT Serif" w:eastAsia="PT Serif"/>
          <w:color w:val="333333"/>
          <w:sz w:val="21"/>
        </w:rPr>
        <w:t>получать сведения об обработке своих персональных данных;</w:t>
      </w:r>
    </w:p>
    <w:p>
      <w:pPr>
        <w:pStyle w:val="ListBullet"/>
        <w:spacing w:after="60"/>
      </w:pPr>
      <w:r>
        <w:rPr>
          <w:rFonts w:ascii="PT Serif" w:hAnsi="PT Serif" w:eastAsia="PT Serif"/>
          <w:color w:val="333333"/>
          <w:sz w:val="21"/>
        </w:rPr>
        <w:t>требовать уточнения, блокирования или уничтожения неполных, устаревших, неточных, незаконно полученных или не нужных для заявленной цели данных;</w:t>
      </w:r>
    </w:p>
    <w:p>
      <w:pPr>
        <w:pStyle w:val="ListBullet"/>
        <w:spacing w:after="60"/>
      </w:pPr>
      <w:r>
        <w:rPr>
          <w:rFonts w:ascii="PT Serif" w:hAnsi="PT Serif" w:eastAsia="PT Serif"/>
          <w:color w:val="333333"/>
          <w:sz w:val="21"/>
        </w:rPr>
        <w:t>отозвать согласие;</w:t>
      </w:r>
    </w:p>
    <w:p>
      <w:pPr>
        <w:pStyle w:val="ListBullet"/>
        <w:spacing w:after="60"/>
      </w:pPr>
      <w:r>
        <w:rPr>
          <w:rFonts w:ascii="PT Serif" w:hAnsi="PT Serif" w:eastAsia="PT Serif"/>
          <w:color w:val="333333"/>
          <w:sz w:val="21"/>
        </w:rPr>
        <w:t>требовать прекращения обработки в случаях, предусмотренных законом;</w:t>
      </w:r>
    </w:p>
    <w:p>
      <w:pPr>
        <w:pStyle w:val="ListBullet"/>
        <w:spacing w:after="60"/>
      </w:pPr>
      <w:r>
        <w:rPr>
          <w:rFonts w:ascii="PT Serif" w:hAnsi="PT Serif" w:eastAsia="PT Serif"/>
          <w:color w:val="333333"/>
          <w:sz w:val="21"/>
        </w:rPr>
        <w:t>обжаловать действия или бездействие Фонда в Роскомнадзор или в суд.</w:t>
      </w:r>
    </w:p>
    <w:p>
      <w:r>
        <w:rPr>
          <w:rFonts w:ascii="PT Serif" w:hAnsi="PT Serif" w:eastAsia="PT Serif"/>
          <w:color w:val="333333"/>
          <w:sz w:val="22"/>
        </w:rPr>
        <w:t>Запрос направляется по адресу оператора или на e-mail: info@annushkafond.ru</w:t>
      </w:r>
      <w:r>
        <w:rPr>
          <w:rFonts w:ascii="Noto Sans" w:hAnsi="Noto Sans" w:eastAsia="Noto Sans"/>
          <w:b/>
          <w:color w:val="8A5A00"/>
          <w:sz w:val="18"/>
          <w:shd w:fill="FFF2CC"/>
        </w:rPr>
      </w:r>
    </w:p>
    <w:p>
      <w:pPr>
        <w:pStyle w:val="AnnushkaH1"/>
      </w:pPr>
      <w:r>
        <w:rPr>
          <w:rFonts w:ascii="PT Serif" w:hAnsi="PT Serif" w:eastAsia="PT Serif"/>
          <w:b/>
          <w:color w:val="465A4B"/>
          <w:sz w:val="28"/>
        </w:rPr>
        <w:t>11. Меры защиты</w:t>
      </w:r>
    </w:p>
    <w:p>
      <w:r>
        <w:rPr>
          <w:rFonts w:ascii="PT Serif" w:hAnsi="PT Serif" w:eastAsia="PT Serif"/>
          <w:color w:val="333333"/>
          <w:sz w:val="22"/>
        </w:rPr>
        <w:t>Фонд принимает необходимые правовые, организационные и технические меры, включая назначение ответственного за организацию обработки персональных данных, принятие локальных актов, ограничение доступа, учёт носителей и информационных систем, использование средств защиты, резервирование и восстановление данных, обучение работников, внутренний контроль и реагирование на инциденты.</w:t>
      </w:r>
    </w:p>
    <w:p>
      <w:pPr>
        <w:pStyle w:val="AnnushkaH1"/>
      </w:pPr>
      <w:r>
        <w:rPr>
          <w:rFonts w:ascii="PT Serif" w:hAnsi="PT Serif" w:eastAsia="PT Serif"/>
          <w:b/>
          <w:color w:val="465A4B"/>
          <w:sz w:val="28"/>
        </w:rPr>
        <w:t>12. Обработка данных через сайт</w:t>
      </w:r>
    </w:p>
    <w:p>
      <w:r>
        <w:rPr>
          <w:rFonts w:ascii="PT Serif" w:hAnsi="PT Serif" w:eastAsia="PT Serif"/>
          <w:color w:val="333333"/>
          <w:sz w:val="22"/>
        </w:rPr>
        <w:t>Политика должна быть размещена в свободном доступе на сайте, в том числе на страницах, где имеются формы сбора персональных данных. Для каждой формы Фонд использует отдельный текст согласия, соответствующий конкретной цели и составу собираемых данных. Отметка согласия не должна быть проставлена заранее.</w:t>
      </w:r>
    </w:p>
    <w:p>
      <w:pPr>
        <w:pStyle w:val="AnnushkaH1"/>
      </w:pPr>
      <w:r>
        <w:rPr>
          <w:rFonts w:ascii="PT Serif" w:hAnsi="PT Serif" w:eastAsia="PT Serif"/>
          <w:b/>
          <w:color w:val="465A4B"/>
          <w:sz w:val="28"/>
        </w:rPr>
        <w:t>13. Заключительные положения</w:t>
      </w:r>
    </w:p>
    <w:p>
      <w:r>
        <w:rPr>
          <w:rFonts w:ascii="PT Serif" w:hAnsi="PT Serif" w:eastAsia="PT Serif"/>
          <w:color w:val="333333"/>
          <w:sz w:val="22"/>
        </w:rPr>
        <w:t>Политика пересматривается при изменении законодательства, процессов Фонда, состава информационных систем, целей и категорий данных. Действующая редакция размещается на сайте Фонда.</w:t>
      </w:r>
    </w:p>
    <w:p>
      <w:pPr>
        <w:pStyle w:val="AnnushkaH1"/>
      </w:pPr>
      <w:r>
        <w:rPr>
          <w:rFonts w:ascii="PT Serif" w:hAnsi="PT Serif" w:eastAsia="PT Serif"/>
          <w:b/>
          <w:color w:val="465A4B"/>
          <w:sz w:val="28"/>
        </w:rPr>
        <w:t>Нормативная основа</w:t>
      </w:r>
    </w:p>
    <w:p>
      <w:pPr>
        <w:pStyle w:val="ListBullet"/>
        <w:spacing w:after="60"/>
      </w:pPr>
      <w:r>
        <w:rPr>
          <w:rFonts w:ascii="PT Serif" w:hAnsi="PT Serif" w:eastAsia="PT Serif"/>
          <w:color w:val="333333"/>
          <w:sz w:val="21"/>
        </w:rPr>
        <w:t>Федеральный закон от 27.07.2006 № 152-ФЗ «О персональных данных» (с учётом изменений, действующих на дату редакции документа).</w:t>
      </w:r>
    </w:p>
    <w:p>
      <w:pPr>
        <w:pStyle w:val="ListBullet"/>
        <w:spacing w:after="60"/>
      </w:pPr>
      <w:r>
        <w:rPr>
          <w:rFonts w:ascii="PT Serif" w:hAnsi="PT Serif" w:eastAsia="PT Serif"/>
          <w:color w:val="333333"/>
          <w:sz w:val="21"/>
        </w:rPr>
        <w:t>Федеральный закон от 24.06.2025 № 156-ФЗ - в части требования оформлять согласие на обработку персональных данных отдельно от иных документов и информации, подтверждаемых субъектом.</w:t>
      </w:r>
    </w:p>
    <w:p>
      <w:pPr>
        <w:pStyle w:val="ListBullet"/>
        <w:spacing w:after="60"/>
      </w:pPr>
      <w:r>
        <w:rPr>
          <w:rFonts w:ascii="PT Serif" w:hAnsi="PT Serif" w:eastAsia="PT Serif"/>
          <w:color w:val="333333"/>
          <w:sz w:val="21"/>
        </w:rPr>
        <w:t>Рекомендации Роскомнадзора по составлению документа, определяющего политику оператора в отношении обработки персональных данных.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879" w:right="992" w:bottom="879" w:left="9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pBdr>
        <w:top w:val="single" w:sz="6" w:space="6" w:color="D9D2C5"/>
      </w:pBdr>
    </w:pPr>
    <w:r/>
    <w:r>
      <w:rPr>
        <w:rFonts w:ascii="Noto Sans" w:hAnsi="Noto Sans" w:eastAsia="Noto Sans"/>
        <w:color w:val="6E6A65"/>
        <w:sz w:val="15"/>
      </w:rPr>
      <w:t>Политика обработки персональных данных  •  Редакция 08.08.2026</w:t>
    </w:r>
  </w:p>
  <w:p>
    <w:pPr>
      <w:jc w:val="right"/>
    </w:pPr>
    <w:r>
      <w:rPr>
        <w:rFonts w:ascii="Noto Sans" w:hAnsi="Noto Sans" w:eastAsia="Noto Sans"/>
        <w:color w:val="6E6A65"/>
        <w:sz w:val="16"/>
      </w:rPr>
      <w:t xml:space="preserve">Страница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12" w:space="6" w:color="C9785C"/>
      </w:pBdr>
    </w:pPr>
    <w:r/>
    <w:r>
      <w:rPr>
        <w:rFonts w:ascii="Noto Sans" w:hAnsi="Noto Sans" w:eastAsia="Noto Sans"/>
        <w:b/>
        <w:color w:val="465A4B"/>
        <w:sz w:val="16"/>
      </w:rPr>
      <w:t>БЛАГОТВОРИТЕЛЬНЫЙ ФОНД «АННУШКА»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PT Serif" w:hAnsi="PT Serif"/>
      <w:color w:val="333333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AnnushkaLegalTitle">
    <w:name w:val="Annushka Legal Title"/>
    <w:pPr>
      <w:spacing w:before="0" w:after="160"/>
    </w:pPr>
    <w:rPr>
      <w:rFonts w:ascii="PT Serif" w:hAnsi="PT Serif"/>
      <w:b/>
      <w:color w:val="465A4B"/>
      <w:sz w:val="42"/>
    </w:rPr>
  </w:style>
  <w:style w:type="paragraph" w:customStyle="1" w:styleId="AnnushkaLegalSubtitle">
    <w:name w:val="Annushka Legal Subtitle"/>
    <w:pPr>
      <w:spacing w:before="0" w:after="240"/>
    </w:pPr>
    <w:rPr>
      <w:rFonts w:ascii="PT Serif" w:hAnsi="PT Serif"/>
      <w:b w:val="0"/>
      <w:color w:val="6E6A65"/>
      <w:sz w:val="21"/>
    </w:rPr>
  </w:style>
  <w:style w:type="paragraph" w:customStyle="1" w:styleId="AnnushkaH1">
    <w:name w:val="Annushka H1"/>
    <w:pPr>
      <w:keepNext/>
      <w:spacing w:before="280" w:after="120"/>
    </w:pPr>
    <w:rPr>
      <w:rFonts w:ascii="PT Serif" w:hAnsi="PT Serif"/>
      <w:b/>
      <w:color w:val="465A4B"/>
      <w:sz w:val="28"/>
    </w:rPr>
  </w:style>
  <w:style w:type="paragraph" w:customStyle="1" w:styleId="AnnushkaH2">
    <w:name w:val="Annushka H2"/>
    <w:pPr>
      <w:spacing w:before="200" w:after="80"/>
    </w:pPr>
    <w:rPr>
      <w:rFonts w:ascii="PT Serif" w:hAnsi="PT Serif"/>
      <w:b/>
      <w:color w:val="687C68"/>
      <w:sz w:val="23"/>
    </w:rPr>
  </w:style>
  <w:style w:type="paragraph" w:customStyle="1" w:styleId="AnnushkaSmall">
    <w:name w:val="Annushka Small"/>
    <w:pPr>
      <w:spacing w:before="0" w:after="80"/>
    </w:pPr>
    <w:rPr>
      <w:rFonts w:ascii="Noto Sans" w:hAnsi="Noto Sans"/>
      <w:b w:val="0"/>
      <w:color w:val="6E6A65"/>
      <w:sz w:val="17"/>
    </w:rPr>
  </w:style>
  <w:style w:type="paragraph" w:customStyle="1" w:styleId="AnnushkaQuote">
    <w:name w:val="Annushka Quote"/>
    <w:pPr>
      <w:spacing w:before="120" w:after="120"/>
    </w:pPr>
    <w:rPr>
      <w:rFonts w:ascii="PT Serif" w:hAnsi="PT Serif"/>
      <w:b/>
      <w:color w:val="465A4B"/>
      <w:sz w:val="23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